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
        <w:rPr>
          <w:rFonts w:ascii="Times New Roman"/>
          <w:sz w:val="20"/>
        </w:rPr>
      </w:pPr>
      <w:r>
        <w:rPr>
          <w:rFonts w:ascii="Times New Roman"/>
          <w:sz w:val="20"/>
        </w:rPr>
        <w:drawing>
          <wp:inline distT="0" distB="0" distL="0" distR="0">
            <wp:extent cx="1595766" cy="39862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95766" cy="398621"/>
                    </a:xfrm>
                    <a:prstGeom prst="rect">
                      <a:avLst/>
                    </a:prstGeom>
                  </pic:spPr>
                </pic:pic>
              </a:graphicData>
            </a:graphic>
          </wp:inline>
        </w:drawing>
      </w:r>
      <w:r>
        <w:rPr>
          <w:rFonts w:ascii="Times New Roman"/>
          <w:sz w:val="20"/>
        </w:rPr>
      </w:r>
    </w:p>
    <w:p>
      <w:pPr>
        <w:spacing w:before="0"/>
        <w:ind w:left="0" w:right="14" w:firstLine="0"/>
        <w:jc w:val="right"/>
        <w:rPr>
          <w:sz w:val="18"/>
        </w:rPr>
      </w:pPr>
      <w:r>
        <w:rPr>
          <w:sz w:val="18"/>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140970</wp:posOffset>
                </wp:positionV>
                <wp:extent cx="573151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31510" cy="1270"/>
                        </a:xfrm>
                        <a:custGeom>
                          <a:avLst/>
                          <a:gdLst/>
                          <a:ahLst/>
                          <a:cxnLst/>
                          <a:rect l="l" t="t" r="r" b="b"/>
                          <a:pathLst>
                            <a:path w="5731510" h="1270">
                              <a:moveTo>
                                <a:pt x="5731509" y="0"/>
                              </a:moveTo>
                              <a:lnTo>
                                <a:pt x="0" y="0"/>
                              </a:lnTo>
                              <a:lnTo>
                                <a:pt x="0" y="1270"/>
                              </a:lnTo>
                              <a:lnTo>
                                <a:pt x="5731509" y="1270"/>
                              </a:lnTo>
                              <a:lnTo>
                                <a:pt x="57315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2pt;margin-top:11.1pt;width:451.3pt;height:.1pt;mso-position-horizontal-relative:page;mso-position-vertical-relative:paragraph;z-index:15729152" id="docshape1" filled="true" fillcolor="#585858" stroked="false">
                <v:fill type="solid"/>
                <w10:wrap type="none"/>
              </v:rect>
            </w:pict>
          </mc:Fallback>
        </mc:AlternateContent>
      </w:r>
      <w:r>
        <w:rPr>
          <w:color w:val="585858"/>
          <w:spacing w:val="-2"/>
          <w:sz w:val="18"/>
        </w:rPr>
        <w:t>DÉPARTEMENT</w:t>
      </w:r>
      <w:r>
        <w:rPr>
          <w:color w:val="585858"/>
          <w:spacing w:val="-8"/>
          <w:sz w:val="18"/>
        </w:rPr>
        <w:t> </w:t>
      </w:r>
      <w:r>
        <w:rPr>
          <w:color w:val="585858"/>
          <w:spacing w:val="-2"/>
          <w:sz w:val="18"/>
        </w:rPr>
        <w:t>«OPÉRATIONS»</w:t>
      </w:r>
    </w:p>
    <w:p>
      <w:pPr>
        <w:spacing w:before="58"/>
        <w:ind w:left="0" w:right="12" w:firstLine="0"/>
        <w:jc w:val="right"/>
        <w:rPr>
          <w:sz w:val="18"/>
        </w:rPr>
      </w:pPr>
      <w:r>
        <w:rPr>
          <w:color w:val="585858"/>
          <w:spacing w:val="-4"/>
          <w:sz w:val="18"/>
        </w:rPr>
        <w:t>L123</w:t>
      </w:r>
    </w:p>
    <w:p>
      <w:pPr>
        <w:pStyle w:val="BodyText"/>
        <w:rPr>
          <w:sz w:val="18"/>
        </w:rPr>
      </w:pPr>
    </w:p>
    <w:p>
      <w:pPr>
        <w:pStyle w:val="BodyText"/>
        <w:spacing w:before="107"/>
        <w:rPr>
          <w:sz w:val="18"/>
        </w:rPr>
      </w:pPr>
    </w:p>
    <w:p>
      <w:pPr>
        <w:spacing w:before="0"/>
        <w:ind w:left="1327" w:right="1380" w:firstLine="0"/>
        <w:jc w:val="center"/>
        <w:rPr>
          <w:rFonts w:ascii="Arial" w:hAnsi="Arial"/>
          <w:b/>
          <w:sz w:val="22"/>
        </w:rPr>
      </w:pPr>
      <w:r>
        <w:rPr>
          <w:rFonts w:ascii="Arial" w:hAnsi="Arial"/>
          <w:b/>
          <w:sz w:val="22"/>
        </w:rPr>
        <w:t>Décision</w:t>
      </w:r>
      <w:r>
        <w:rPr>
          <w:rFonts w:ascii="Arial" w:hAnsi="Arial"/>
          <w:b/>
          <w:spacing w:val="-7"/>
          <w:sz w:val="22"/>
        </w:rPr>
        <w:t> </w:t>
      </w:r>
      <w:r>
        <w:rPr>
          <w:rFonts w:ascii="Arial" w:hAnsi="Arial"/>
          <w:b/>
          <w:sz w:val="22"/>
        </w:rPr>
        <w:t>sur</w:t>
      </w:r>
      <w:r>
        <w:rPr>
          <w:rFonts w:ascii="Arial" w:hAnsi="Arial"/>
          <w:b/>
          <w:spacing w:val="-7"/>
          <w:sz w:val="22"/>
        </w:rPr>
        <w:t> </w:t>
      </w:r>
      <w:r>
        <w:rPr>
          <w:rFonts w:ascii="Arial" w:hAnsi="Arial"/>
          <w:b/>
          <w:sz w:val="22"/>
        </w:rPr>
        <w:t>le</w:t>
      </w:r>
      <w:r>
        <w:rPr>
          <w:rFonts w:ascii="Arial" w:hAnsi="Arial"/>
          <w:b/>
          <w:spacing w:val="-9"/>
          <w:sz w:val="22"/>
        </w:rPr>
        <w:t> </w:t>
      </w:r>
      <w:r>
        <w:rPr>
          <w:rFonts w:ascii="Arial" w:hAnsi="Arial"/>
          <w:b/>
          <w:sz w:val="22"/>
        </w:rPr>
        <w:t>caractère</w:t>
      </w:r>
      <w:r>
        <w:rPr>
          <w:rFonts w:ascii="Arial" w:hAnsi="Arial"/>
          <w:b/>
          <w:spacing w:val="-7"/>
          <w:sz w:val="22"/>
        </w:rPr>
        <w:t> </w:t>
      </w:r>
      <w:r>
        <w:rPr>
          <w:rFonts w:ascii="Arial" w:hAnsi="Arial"/>
          <w:b/>
          <w:sz w:val="22"/>
        </w:rPr>
        <w:t>distinctif</w:t>
      </w:r>
      <w:r>
        <w:rPr>
          <w:rFonts w:ascii="Arial" w:hAnsi="Arial"/>
          <w:b/>
          <w:spacing w:val="-8"/>
          <w:sz w:val="22"/>
        </w:rPr>
        <w:t> </w:t>
      </w:r>
      <w:r>
        <w:rPr>
          <w:rFonts w:ascii="Arial" w:hAnsi="Arial"/>
          <w:b/>
          <w:sz w:val="22"/>
        </w:rPr>
        <w:t>intrinsèque</w:t>
      </w:r>
      <w:r>
        <w:rPr>
          <w:rFonts w:ascii="Arial" w:hAnsi="Arial"/>
          <w:b/>
          <w:spacing w:val="-7"/>
          <w:sz w:val="22"/>
        </w:rPr>
        <w:t> </w:t>
      </w:r>
      <w:r>
        <w:rPr>
          <w:rFonts w:ascii="Arial" w:hAnsi="Arial"/>
          <w:b/>
          <w:sz w:val="22"/>
        </w:rPr>
        <w:t>d’une demande de marque de l’Union européenne</w:t>
      </w:r>
    </w:p>
    <w:p>
      <w:pPr>
        <w:spacing w:before="0"/>
        <w:ind w:left="1389" w:right="1380" w:firstLine="0"/>
        <w:jc w:val="center"/>
        <w:rPr>
          <w:rFonts w:ascii="Arial"/>
          <w:b/>
          <w:sz w:val="22"/>
        </w:rPr>
      </w:pPr>
      <w:r>
        <w:rPr>
          <w:rFonts w:ascii="Arial"/>
          <w:b/>
          <w:sz w:val="22"/>
        </w:rPr>
        <w:t>(article</w:t>
      </w:r>
      <w:r>
        <w:rPr>
          <w:rFonts w:ascii="Arial"/>
          <w:b/>
          <w:spacing w:val="-5"/>
          <w:sz w:val="22"/>
        </w:rPr>
        <w:t> </w:t>
      </w:r>
      <w:r>
        <w:rPr>
          <w:rFonts w:ascii="Arial"/>
          <w:b/>
          <w:sz w:val="22"/>
        </w:rPr>
        <w:t>7</w:t>
      </w:r>
      <w:r>
        <w:rPr>
          <w:rFonts w:ascii="Arial"/>
          <w:b/>
          <w:spacing w:val="-2"/>
          <w:sz w:val="22"/>
        </w:rPr>
        <w:t> </w:t>
      </w:r>
      <w:r>
        <w:rPr>
          <w:rFonts w:ascii="Arial"/>
          <w:b/>
          <w:sz w:val="22"/>
        </w:rPr>
        <w:t>du</w:t>
      </w:r>
      <w:r>
        <w:rPr>
          <w:rFonts w:ascii="Arial"/>
          <w:b/>
          <w:spacing w:val="-2"/>
          <w:sz w:val="22"/>
        </w:rPr>
        <w:t> </w:t>
      </w:r>
      <w:r>
        <w:rPr>
          <w:rFonts w:ascii="Arial"/>
          <w:b/>
          <w:spacing w:val="-4"/>
          <w:sz w:val="22"/>
        </w:rPr>
        <w:t>RMUE)</w:t>
      </w:r>
    </w:p>
    <w:p>
      <w:pPr>
        <w:pStyle w:val="BodyText"/>
        <w:spacing w:line="690" w:lineRule="atLeast" w:before="84"/>
        <w:ind w:left="4149" w:right="2907"/>
      </w:pPr>
      <w:r>
        <w:rPr/>
        <w:t>Alicante,</w:t>
      </w:r>
      <w:r>
        <w:rPr>
          <w:spacing w:val="-16"/>
        </w:rPr>
        <w:t> </w:t>
      </w:r>
      <w:r>
        <w:rPr/>
        <w:t>02/04/2025 UMAMI LAW S.L.P.</w:t>
      </w:r>
    </w:p>
    <w:p>
      <w:pPr>
        <w:pStyle w:val="BodyText"/>
        <w:spacing w:before="5"/>
        <w:ind w:left="4149"/>
      </w:pPr>
      <w:r>
        <w:rPr/>
        <w:t>Julie</w:t>
      </w:r>
      <w:r>
        <w:rPr>
          <w:spacing w:val="-2"/>
        </w:rPr>
        <w:t> Schmitt</w:t>
      </w:r>
    </w:p>
    <w:p>
      <w:pPr>
        <w:pStyle w:val="BodyText"/>
        <w:spacing w:before="1"/>
        <w:ind w:left="4149" w:right="2605"/>
      </w:pPr>
      <w:r>
        <w:rPr/>
        <w:t>Pl.</w:t>
      </w:r>
      <w:r>
        <w:rPr>
          <w:spacing w:val="-10"/>
        </w:rPr>
        <w:t> </w:t>
      </w:r>
      <w:r>
        <w:rPr/>
        <w:t>de</w:t>
      </w:r>
      <w:r>
        <w:rPr>
          <w:spacing w:val="-11"/>
        </w:rPr>
        <w:t> </w:t>
      </w:r>
      <w:r>
        <w:rPr/>
        <w:t>San</w:t>
      </w:r>
      <w:r>
        <w:rPr>
          <w:spacing w:val="-11"/>
        </w:rPr>
        <w:t> </w:t>
      </w:r>
      <w:r>
        <w:rPr/>
        <w:t>Cristobal,</w:t>
      </w:r>
      <w:r>
        <w:rPr>
          <w:spacing w:val="-10"/>
        </w:rPr>
        <w:t> </w:t>
      </w:r>
      <w:r>
        <w:rPr/>
        <w:t>14 Centro</w:t>
      </w:r>
      <w:r>
        <w:rPr>
          <w:spacing w:val="-2"/>
        </w:rPr>
        <w:t> </w:t>
      </w:r>
      <w:r>
        <w:rPr/>
        <w:t>Ulab</w:t>
      </w:r>
      <w:r>
        <w:rPr>
          <w:spacing w:val="-2"/>
        </w:rPr>
        <w:t> </w:t>
      </w:r>
      <w:r>
        <w:rPr/>
        <w:t>Coworking E-03002</w:t>
      </w:r>
      <w:r>
        <w:rPr>
          <w:spacing w:val="-4"/>
        </w:rPr>
        <w:t> </w:t>
      </w:r>
      <w:r>
        <w:rPr/>
        <w:t>Alicante </w:t>
      </w:r>
      <w:r>
        <w:rPr>
          <w:spacing w:val="-2"/>
        </w:rPr>
        <w:t>ESPAÑA</w:t>
      </w:r>
    </w:p>
    <w:p>
      <w:pPr>
        <w:pStyle w:val="BodyText"/>
      </w:pPr>
    </w:p>
    <w:p>
      <w:pPr>
        <w:pStyle w:val="BodyText"/>
        <w:spacing w:before="226"/>
      </w:pPr>
    </w:p>
    <w:p>
      <w:pPr>
        <w:tabs>
          <w:tab w:pos="4148" w:val="left" w:leader="none"/>
        </w:tabs>
        <w:spacing w:before="1"/>
        <w:ind w:left="309" w:right="0" w:firstLine="0"/>
        <w:jc w:val="left"/>
        <w:rPr>
          <w:rFonts w:ascii="Arial"/>
          <w:b/>
          <w:sz w:val="22"/>
        </w:rPr>
      </w:pPr>
      <w:r>
        <w:rPr>
          <w:rFonts w:ascii="Arial"/>
          <w:i/>
          <w:sz w:val="22"/>
        </w:rPr>
        <w:t>Demande</w:t>
      </w:r>
      <w:r>
        <w:rPr>
          <w:rFonts w:ascii="Arial"/>
          <w:i/>
          <w:spacing w:val="-3"/>
          <w:sz w:val="22"/>
        </w:rPr>
        <w:t> </w:t>
      </w:r>
      <w:r>
        <w:rPr>
          <w:rFonts w:ascii="Arial"/>
          <w:i/>
          <w:spacing w:val="-5"/>
          <w:sz w:val="22"/>
        </w:rPr>
        <w:t>no:</w:t>
      </w:r>
      <w:r>
        <w:rPr>
          <w:rFonts w:ascii="Times New Roman"/>
          <w:sz w:val="22"/>
        </w:rPr>
        <w:tab/>
      </w:r>
      <w:r>
        <w:rPr>
          <w:rFonts w:ascii="Arial"/>
          <w:b/>
          <w:spacing w:val="-2"/>
          <w:sz w:val="22"/>
        </w:rPr>
        <w:t>019025909</w:t>
      </w:r>
    </w:p>
    <w:p>
      <w:pPr>
        <w:tabs>
          <w:tab w:pos="4148" w:val="left" w:leader="none"/>
        </w:tabs>
        <w:spacing w:before="191"/>
        <w:ind w:left="309" w:right="0" w:firstLine="0"/>
        <w:jc w:val="left"/>
        <w:rPr>
          <w:rFonts w:ascii="Arial" w:hAnsi="Arial"/>
          <w:b/>
          <w:sz w:val="22"/>
        </w:rPr>
      </w:pPr>
      <w:r>
        <w:rPr>
          <w:rFonts w:ascii="Arial" w:hAnsi="Arial"/>
          <w:i/>
          <w:sz w:val="22"/>
        </w:rPr>
        <w:t>Votre</w:t>
      </w:r>
      <w:r>
        <w:rPr>
          <w:rFonts w:ascii="Arial" w:hAnsi="Arial"/>
          <w:i/>
          <w:spacing w:val="-10"/>
          <w:sz w:val="22"/>
        </w:rPr>
        <w:t> </w:t>
      </w:r>
      <w:r>
        <w:rPr>
          <w:rFonts w:ascii="Arial" w:hAnsi="Arial"/>
          <w:i/>
          <w:spacing w:val="-2"/>
          <w:sz w:val="22"/>
        </w:rPr>
        <w:t>référence:</w:t>
      </w:r>
      <w:r>
        <w:rPr>
          <w:rFonts w:ascii="Arial" w:hAnsi="Arial"/>
          <w:i/>
          <w:sz w:val="22"/>
        </w:rPr>
        <w:tab/>
      </w:r>
      <w:r>
        <w:rPr>
          <w:rFonts w:ascii="Arial" w:hAnsi="Arial"/>
          <w:b/>
          <w:spacing w:val="-2"/>
          <w:sz w:val="22"/>
        </w:rPr>
        <w:t>PCD/3D/ADD/EU</w:t>
      </w:r>
    </w:p>
    <w:p>
      <w:pPr>
        <w:spacing w:before="189"/>
        <w:ind w:left="309" w:right="0" w:firstLine="0"/>
        <w:jc w:val="left"/>
        <w:rPr>
          <w:rFonts w:ascii="Arial"/>
          <w:i/>
          <w:sz w:val="22"/>
        </w:rPr>
      </w:pPr>
      <w:r>
        <w:rPr>
          <w:rFonts w:ascii="Arial"/>
          <w:i/>
          <w:sz w:val="22"/>
        </w:rPr>
        <w:drawing>
          <wp:anchor distT="0" distB="0" distL="0" distR="0" allowOverlap="1" layoutInCell="1" locked="0" behindDoc="0" simplePos="0" relativeHeight="15728640">
            <wp:simplePos x="0" y="0"/>
            <wp:positionH relativeFrom="page">
              <wp:posOffset>3609289</wp:posOffset>
            </wp:positionH>
            <wp:positionV relativeFrom="paragraph">
              <wp:posOffset>120223</wp:posOffset>
            </wp:positionV>
            <wp:extent cx="1827580" cy="172338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827580" cy="1723389"/>
                    </a:xfrm>
                    <a:prstGeom prst="rect">
                      <a:avLst/>
                    </a:prstGeom>
                  </pic:spPr>
                </pic:pic>
              </a:graphicData>
            </a:graphic>
          </wp:anchor>
        </w:drawing>
      </w:r>
      <w:r>
        <w:rPr>
          <w:rFonts w:ascii="Arial"/>
          <w:i/>
          <w:spacing w:val="-2"/>
          <w:sz w:val="22"/>
        </w:rPr>
        <w:t>Marque:</w:t>
      </w: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spacing w:before="169"/>
        <w:rPr>
          <w:rFonts w:ascii="Arial"/>
          <w:i/>
        </w:rPr>
      </w:pPr>
    </w:p>
    <w:p>
      <w:pPr>
        <w:tabs>
          <w:tab w:pos="4148" w:val="left" w:leader="none"/>
        </w:tabs>
        <w:spacing w:before="0"/>
        <w:ind w:left="309" w:right="0" w:firstLine="0"/>
        <w:jc w:val="left"/>
        <w:rPr>
          <w:rFonts w:ascii="Arial"/>
          <w:b/>
          <w:sz w:val="22"/>
        </w:rPr>
      </w:pPr>
      <w:r>
        <w:rPr>
          <w:rFonts w:ascii="Arial"/>
          <w:i/>
          <w:sz w:val="22"/>
        </w:rPr>
        <w:t>Type</w:t>
      </w:r>
      <w:r>
        <w:rPr>
          <w:rFonts w:ascii="Arial"/>
          <w:i/>
          <w:spacing w:val="-10"/>
          <w:sz w:val="22"/>
        </w:rPr>
        <w:t> </w:t>
      </w:r>
      <w:r>
        <w:rPr>
          <w:rFonts w:ascii="Arial"/>
          <w:i/>
          <w:sz w:val="22"/>
        </w:rPr>
        <w:t>de</w:t>
      </w:r>
      <w:r>
        <w:rPr>
          <w:rFonts w:ascii="Arial"/>
          <w:i/>
          <w:spacing w:val="-10"/>
          <w:sz w:val="22"/>
        </w:rPr>
        <w:t> </w:t>
      </w:r>
      <w:r>
        <w:rPr>
          <w:rFonts w:ascii="Arial"/>
          <w:i/>
          <w:spacing w:val="-2"/>
          <w:sz w:val="22"/>
        </w:rPr>
        <w:t>marque:</w:t>
      </w:r>
      <w:r>
        <w:rPr>
          <w:rFonts w:ascii="Arial"/>
          <w:i/>
          <w:sz w:val="22"/>
        </w:rPr>
        <w:tab/>
      </w:r>
      <w:r>
        <w:rPr>
          <w:rFonts w:ascii="Arial"/>
          <w:b/>
          <w:sz w:val="22"/>
        </w:rPr>
        <w:t>De</w:t>
      </w:r>
      <w:r>
        <w:rPr>
          <w:rFonts w:ascii="Arial"/>
          <w:b/>
          <w:spacing w:val="-1"/>
          <w:sz w:val="22"/>
        </w:rPr>
        <w:t> </w:t>
      </w:r>
      <w:r>
        <w:rPr>
          <w:rFonts w:ascii="Arial"/>
          <w:b/>
          <w:spacing w:val="-4"/>
          <w:sz w:val="22"/>
        </w:rPr>
        <w:t>forme</w:t>
      </w:r>
    </w:p>
    <w:p>
      <w:pPr>
        <w:tabs>
          <w:tab w:pos="4148" w:val="left" w:leader="none"/>
        </w:tabs>
        <w:spacing w:line="252" w:lineRule="exact" w:before="191"/>
        <w:ind w:left="309" w:right="0" w:firstLine="0"/>
        <w:jc w:val="left"/>
        <w:rPr>
          <w:rFonts w:ascii="Arial"/>
          <w:b/>
          <w:sz w:val="22"/>
        </w:rPr>
      </w:pPr>
      <w:r>
        <w:rPr>
          <w:rFonts w:ascii="Arial"/>
          <w:i/>
          <w:spacing w:val="-2"/>
          <w:sz w:val="22"/>
        </w:rPr>
        <w:t>Demandeur/demanderesse:</w:t>
      </w:r>
      <w:r>
        <w:rPr>
          <w:rFonts w:ascii="Arial"/>
          <w:i/>
          <w:sz w:val="22"/>
        </w:rPr>
        <w:tab/>
      </w:r>
      <w:r>
        <w:rPr>
          <w:rFonts w:ascii="Arial"/>
          <w:b/>
          <w:sz w:val="22"/>
        </w:rPr>
        <w:t>PARFUMS</w:t>
      </w:r>
      <w:r>
        <w:rPr>
          <w:rFonts w:ascii="Arial"/>
          <w:b/>
          <w:spacing w:val="-15"/>
          <w:sz w:val="22"/>
        </w:rPr>
        <w:t> </w:t>
      </w:r>
      <w:r>
        <w:rPr>
          <w:rFonts w:ascii="Arial"/>
          <w:b/>
          <w:sz w:val="22"/>
        </w:rPr>
        <w:t>CHRISTIAN</w:t>
      </w:r>
      <w:r>
        <w:rPr>
          <w:rFonts w:ascii="Arial"/>
          <w:b/>
          <w:spacing w:val="-12"/>
          <w:sz w:val="22"/>
        </w:rPr>
        <w:t> </w:t>
      </w:r>
      <w:r>
        <w:rPr>
          <w:rFonts w:ascii="Arial"/>
          <w:b/>
          <w:spacing w:val="-4"/>
          <w:sz w:val="22"/>
        </w:rPr>
        <w:t>DIOR</w:t>
      </w:r>
    </w:p>
    <w:p>
      <w:pPr>
        <w:spacing w:line="252" w:lineRule="exact" w:before="0"/>
        <w:ind w:left="4149" w:right="0" w:firstLine="0"/>
        <w:jc w:val="left"/>
        <w:rPr>
          <w:rFonts w:ascii="Arial"/>
          <w:b/>
          <w:sz w:val="22"/>
        </w:rPr>
      </w:pPr>
      <w:r>
        <w:rPr>
          <w:rFonts w:ascii="Arial"/>
          <w:b/>
          <w:sz w:val="22"/>
        </w:rPr>
        <w:t>Direction</w:t>
      </w:r>
      <w:r>
        <w:rPr>
          <w:rFonts w:ascii="Arial"/>
          <w:b/>
          <w:spacing w:val="-6"/>
          <w:sz w:val="22"/>
        </w:rPr>
        <w:t> </w:t>
      </w:r>
      <w:r>
        <w:rPr>
          <w:rFonts w:ascii="Arial"/>
          <w:b/>
          <w:spacing w:val="-2"/>
          <w:sz w:val="22"/>
        </w:rPr>
        <w:t>Juridique</w:t>
      </w:r>
    </w:p>
    <w:p>
      <w:pPr>
        <w:spacing w:before="1"/>
        <w:ind w:left="4149" w:right="818" w:firstLine="0"/>
        <w:jc w:val="left"/>
        <w:rPr>
          <w:rFonts w:ascii="Arial"/>
          <w:b/>
          <w:sz w:val="22"/>
        </w:rPr>
      </w:pPr>
      <w:r>
        <w:rPr>
          <w:rFonts w:ascii="Arial"/>
          <w:b/>
          <w:sz w:val="22"/>
        </w:rPr>
        <w:t>190-192</w:t>
      </w:r>
      <w:r>
        <w:rPr>
          <w:rFonts w:ascii="Arial"/>
          <w:b/>
          <w:spacing w:val="-10"/>
          <w:sz w:val="22"/>
        </w:rPr>
        <w:t> </w:t>
      </w:r>
      <w:r>
        <w:rPr>
          <w:rFonts w:ascii="Arial"/>
          <w:b/>
          <w:sz w:val="22"/>
        </w:rPr>
        <w:t>avenue</w:t>
      </w:r>
      <w:r>
        <w:rPr>
          <w:rFonts w:ascii="Arial"/>
          <w:b/>
          <w:spacing w:val="-10"/>
          <w:sz w:val="22"/>
        </w:rPr>
        <w:t> </w:t>
      </w:r>
      <w:r>
        <w:rPr>
          <w:rFonts w:ascii="Arial"/>
          <w:b/>
          <w:sz w:val="22"/>
        </w:rPr>
        <w:t>Charles</w:t>
      </w:r>
      <w:r>
        <w:rPr>
          <w:rFonts w:ascii="Arial"/>
          <w:b/>
          <w:spacing w:val="-10"/>
          <w:sz w:val="22"/>
        </w:rPr>
        <w:t> </w:t>
      </w:r>
      <w:r>
        <w:rPr>
          <w:rFonts w:ascii="Arial"/>
          <w:b/>
          <w:sz w:val="22"/>
        </w:rPr>
        <w:t>de</w:t>
      </w:r>
      <w:r>
        <w:rPr>
          <w:rFonts w:ascii="Arial"/>
          <w:b/>
          <w:spacing w:val="-10"/>
          <w:sz w:val="22"/>
        </w:rPr>
        <w:t> </w:t>
      </w:r>
      <w:r>
        <w:rPr>
          <w:rFonts w:ascii="Arial"/>
          <w:b/>
          <w:sz w:val="22"/>
        </w:rPr>
        <w:t>Gaulle 92200 Neuilly-sur-Seine</w:t>
      </w:r>
    </w:p>
    <w:p>
      <w:pPr>
        <w:spacing w:before="0"/>
        <w:ind w:left="4149" w:right="0" w:firstLine="0"/>
        <w:jc w:val="left"/>
        <w:rPr>
          <w:rFonts w:ascii="Arial"/>
          <w:b/>
          <w:sz w:val="22"/>
        </w:rPr>
      </w:pPr>
      <w:r>
        <w:rPr>
          <w:rFonts w:ascii="Arial"/>
          <w:b/>
          <w:spacing w:val="-2"/>
          <w:sz w:val="22"/>
        </w:rPr>
        <w:t>FRANCIA</w:t>
      </w:r>
    </w:p>
    <w:p>
      <w:pPr>
        <w:pStyle w:val="BodyText"/>
        <w:rPr>
          <w:rFonts w:ascii="Arial"/>
          <w:b/>
        </w:rPr>
      </w:pPr>
    </w:p>
    <w:p>
      <w:pPr>
        <w:pStyle w:val="BodyText"/>
        <w:rPr>
          <w:rFonts w:ascii="Arial"/>
          <w:b/>
        </w:rPr>
      </w:pPr>
    </w:p>
    <w:p>
      <w:pPr>
        <w:pStyle w:val="BodyText"/>
        <w:rPr>
          <w:rFonts w:ascii="Arial"/>
          <w:b/>
        </w:rPr>
      </w:pPr>
    </w:p>
    <w:p>
      <w:pPr>
        <w:pStyle w:val="BodyText"/>
        <w:spacing w:before="227"/>
        <w:rPr>
          <w:rFonts w:ascii="Arial"/>
          <w:b/>
        </w:rPr>
      </w:pPr>
    </w:p>
    <w:p>
      <w:pPr>
        <w:pStyle w:val="ListParagraph"/>
        <w:numPr>
          <w:ilvl w:val="0"/>
          <w:numId w:val="1"/>
        </w:numPr>
        <w:tabs>
          <w:tab w:pos="207" w:val="left" w:leader="none"/>
        </w:tabs>
        <w:spacing w:line="240" w:lineRule="auto" w:before="0" w:after="0"/>
        <w:ind w:left="207" w:right="0" w:hanging="182"/>
        <w:jc w:val="left"/>
        <w:rPr>
          <w:rFonts w:ascii="Arial" w:hAnsi="Arial"/>
          <w:b/>
          <w:sz w:val="22"/>
        </w:rPr>
      </w:pPr>
      <w:r>
        <w:rPr>
          <w:rFonts w:ascii="Arial" w:hAnsi="Arial"/>
          <w:b/>
          <w:sz w:val="22"/>
        </w:rPr>
        <w:t>Résumé</w:t>
      </w:r>
      <w:r>
        <w:rPr>
          <w:rFonts w:ascii="Arial" w:hAnsi="Arial"/>
          <w:b/>
          <w:spacing w:val="-4"/>
          <w:sz w:val="22"/>
        </w:rPr>
        <w:t> </w:t>
      </w:r>
      <w:r>
        <w:rPr>
          <w:rFonts w:ascii="Arial" w:hAnsi="Arial"/>
          <w:b/>
          <w:sz w:val="22"/>
        </w:rPr>
        <w:t>des</w:t>
      </w:r>
      <w:r>
        <w:rPr>
          <w:rFonts w:ascii="Arial" w:hAnsi="Arial"/>
          <w:b/>
          <w:spacing w:val="-2"/>
          <w:sz w:val="22"/>
        </w:rPr>
        <w:t> </w:t>
      </w:r>
      <w:r>
        <w:rPr>
          <w:rFonts w:ascii="Arial" w:hAnsi="Arial"/>
          <w:b/>
          <w:spacing w:val="-4"/>
          <w:sz w:val="22"/>
        </w:rPr>
        <w:t>faits</w:t>
      </w:r>
    </w:p>
    <w:p>
      <w:pPr>
        <w:pStyle w:val="BodyText"/>
        <w:spacing w:before="16"/>
        <w:rPr>
          <w:rFonts w:ascii="Arial"/>
          <w:b/>
        </w:rPr>
      </w:pPr>
    </w:p>
    <w:p>
      <w:pPr>
        <w:pStyle w:val="BodyText"/>
        <w:ind w:left="25" w:right="19"/>
        <w:jc w:val="both"/>
      </w:pPr>
      <w:r>
        <w:rPr/>
        <w:t>Après avoir constaté que la marque demandée est dépourvue de caractère distinctif, l’Office a, conformément à l’article 7, paragraphe 1, point b),</w:t>
      </w:r>
      <w:r>
        <w:rPr>
          <w:spacing w:val="80"/>
        </w:rPr>
        <w:t> </w:t>
      </w:r>
      <w:r>
        <w:rPr/>
        <w:t>du RMUE, soulevé une objection en date du 11/10/2024.</w:t>
      </w:r>
    </w:p>
    <w:p>
      <w:pPr>
        <w:pStyle w:val="BodyText"/>
        <w:spacing w:before="16"/>
      </w:pPr>
    </w:p>
    <w:p>
      <w:pPr>
        <w:pStyle w:val="BodyText"/>
        <w:ind w:left="25"/>
        <w:jc w:val="both"/>
      </w:pPr>
      <w:r>
        <w:rPr/>
        <w:t>Les</w:t>
      </w:r>
      <w:r>
        <w:rPr>
          <w:spacing w:val="-6"/>
        </w:rPr>
        <w:t> </w:t>
      </w:r>
      <w:r>
        <w:rPr/>
        <w:t>produits</w:t>
      </w:r>
      <w:r>
        <w:rPr>
          <w:spacing w:val="-3"/>
        </w:rPr>
        <w:t> </w:t>
      </w:r>
      <w:r>
        <w:rPr/>
        <w:t>pour</w:t>
      </w:r>
      <w:r>
        <w:rPr>
          <w:spacing w:val="-2"/>
        </w:rPr>
        <w:t> </w:t>
      </w:r>
      <w:r>
        <w:rPr/>
        <w:t>lesquels</w:t>
      </w:r>
      <w:r>
        <w:rPr>
          <w:spacing w:val="-3"/>
        </w:rPr>
        <w:t> </w:t>
      </w:r>
      <w:r>
        <w:rPr/>
        <w:t>l’objection</w:t>
      </w:r>
      <w:r>
        <w:rPr>
          <w:spacing w:val="-3"/>
        </w:rPr>
        <w:t> </w:t>
      </w:r>
      <w:r>
        <w:rPr/>
        <w:t>a</w:t>
      </w:r>
      <w:r>
        <w:rPr>
          <w:spacing w:val="-5"/>
        </w:rPr>
        <w:t> </w:t>
      </w:r>
      <w:r>
        <w:rPr/>
        <w:t>été</w:t>
      </w:r>
      <w:r>
        <w:rPr>
          <w:spacing w:val="-3"/>
        </w:rPr>
        <w:t> </w:t>
      </w:r>
      <w:r>
        <w:rPr/>
        <w:t>formulée</w:t>
      </w:r>
      <w:r>
        <w:rPr>
          <w:spacing w:val="-3"/>
        </w:rPr>
        <w:t> </w:t>
      </w:r>
      <w:r>
        <w:rPr>
          <w:spacing w:val="-2"/>
        </w:rPr>
        <w:t>étaient:</w:t>
      </w:r>
    </w:p>
    <w:p>
      <w:pPr>
        <w:pStyle w:val="BodyText"/>
      </w:pPr>
    </w:p>
    <w:p>
      <w:pPr>
        <w:pStyle w:val="BodyText"/>
        <w:spacing w:before="19"/>
      </w:pPr>
    </w:p>
    <w:p>
      <w:pPr>
        <w:spacing w:line="184" w:lineRule="exact" w:before="1"/>
        <w:ind w:left="1388" w:right="1380" w:firstLine="0"/>
        <w:jc w:val="center"/>
        <w:rPr>
          <w:sz w:val="16"/>
        </w:rPr>
      </w:pPr>
      <w:r>
        <w:rPr>
          <w:sz w:val="16"/>
        </w:rPr>
        <mc:AlternateContent>
          <mc:Choice Requires="wps">
            <w:drawing>
              <wp:anchor distT="0" distB="0" distL="0" distR="0" allowOverlap="1" layoutInCell="1" locked="0" behindDoc="0" simplePos="0" relativeHeight="15729664">
                <wp:simplePos x="0" y="0"/>
                <wp:positionH relativeFrom="page">
                  <wp:posOffset>914400</wp:posOffset>
                </wp:positionH>
                <wp:positionV relativeFrom="paragraph">
                  <wp:posOffset>-102266</wp:posOffset>
                </wp:positionV>
                <wp:extent cx="573151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31510" cy="1270"/>
                        </a:xfrm>
                        <a:custGeom>
                          <a:avLst/>
                          <a:gdLst/>
                          <a:ahLst/>
                          <a:cxnLst/>
                          <a:rect l="l" t="t" r="r" b="b"/>
                          <a:pathLst>
                            <a:path w="5731510" h="1270">
                              <a:moveTo>
                                <a:pt x="5731509" y="0"/>
                              </a:moveTo>
                              <a:lnTo>
                                <a:pt x="0" y="0"/>
                              </a:lnTo>
                              <a:lnTo>
                                <a:pt x="0" y="1269"/>
                              </a:lnTo>
                              <a:lnTo>
                                <a:pt x="5731509" y="1269"/>
                              </a:lnTo>
                              <a:lnTo>
                                <a:pt x="57315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2pt;margin-top:-8.052447pt;width:451.3pt;height:.1pt;mso-position-horizontal-relative:page;mso-position-vertical-relative:paragraph;z-index:15729664" id="docshape2" filled="true" fillcolor="#585858" stroked="false">
                <v:fill type="solid"/>
                <w10:wrap type="none"/>
              </v:rect>
            </w:pict>
          </mc:Fallback>
        </mc:AlternateContent>
      </w:r>
      <w:r>
        <w:rPr>
          <w:color w:val="585858"/>
          <w:sz w:val="16"/>
        </w:rPr>
        <w:t>Avenida</w:t>
      </w:r>
      <w:r>
        <w:rPr>
          <w:color w:val="585858"/>
          <w:spacing w:val="-3"/>
          <w:sz w:val="16"/>
        </w:rPr>
        <w:t> </w:t>
      </w:r>
      <w:r>
        <w:rPr>
          <w:color w:val="585858"/>
          <w:sz w:val="16"/>
        </w:rPr>
        <w:t>de</w:t>
      </w:r>
      <w:r>
        <w:rPr>
          <w:color w:val="585858"/>
          <w:spacing w:val="-2"/>
          <w:sz w:val="16"/>
        </w:rPr>
        <w:t> </w:t>
      </w:r>
      <w:r>
        <w:rPr>
          <w:color w:val="585858"/>
          <w:sz w:val="16"/>
        </w:rPr>
        <w:t>Europa,</w:t>
      </w:r>
      <w:r>
        <w:rPr>
          <w:color w:val="585858"/>
          <w:spacing w:val="-3"/>
          <w:sz w:val="16"/>
        </w:rPr>
        <w:t> </w:t>
      </w:r>
      <w:r>
        <w:rPr>
          <w:color w:val="585858"/>
          <w:sz w:val="16"/>
        </w:rPr>
        <w:t>4</w:t>
      </w:r>
      <w:r>
        <w:rPr>
          <w:color w:val="585858"/>
          <w:spacing w:val="-2"/>
          <w:sz w:val="16"/>
        </w:rPr>
        <w:t> </w:t>
      </w:r>
      <w:r>
        <w:rPr>
          <w:color w:val="585858"/>
          <w:sz w:val="16"/>
        </w:rPr>
        <w:t>•</w:t>
      </w:r>
      <w:r>
        <w:rPr>
          <w:color w:val="585858"/>
          <w:spacing w:val="-2"/>
          <w:sz w:val="16"/>
        </w:rPr>
        <w:t> </w:t>
      </w:r>
      <w:r>
        <w:rPr>
          <w:color w:val="585858"/>
          <w:sz w:val="16"/>
        </w:rPr>
        <w:t>E</w:t>
      </w:r>
      <w:r>
        <w:rPr>
          <w:color w:val="585858"/>
          <w:spacing w:val="-2"/>
          <w:sz w:val="16"/>
        </w:rPr>
        <w:t> </w:t>
      </w:r>
      <w:r>
        <w:rPr>
          <w:color w:val="585858"/>
          <w:sz w:val="16"/>
        </w:rPr>
        <w:t>-</w:t>
      </w:r>
      <w:r>
        <w:rPr>
          <w:color w:val="585858"/>
          <w:spacing w:val="-2"/>
          <w:sz w:val="16"/>
        </w:rPr>
        <w:t> </w:t>
      </w:r>
      <w:r>
        <w:rPr>
          <w:color w:val="585858"/>
          <w:sz w:val="16"/>
        </w:rPr>
        <w:t>03008</w:t>
      </w:r>
      <w:r>
        <w:rPr>
          <w:color w:val="585858"/>
          <w:spacing w:val="-2"/>
          <w:sz w:val="16"/>
        </w:rPr>
        <w:t> </w:t>
      </w:r>
      <w:r>
        <w:rPr>
          <w:color w:val="585858"/>
          <w:sz w:val="16"/>
        </w:rPr>
        <w:t>•</w:t>
      </w:r>
      <w:r>
        <w:rPr>
          <w:color w:val="585858"/>
          <w:spacing w:val="-11"/>
          <w:sz w:val="16"/>
        </w:rPr>
        <w:t> </w:t>
      </w:r>
      <w:r>
        <w:rPr>
          <w:color w:val="585858"/>
          <w:sz w:val="16"/>
        </w:rPr>
        <w:t>Alicante, </w:t>
      </w:r>
      <w:r>
        <w:rPr>
          <w:color w:val="585858"/>
          <w:spacing w:val="-2"/>
          <w:sz w:val="16"/>
        </w:rPr>
        <w:t>Espagne</w:t>
      </w:r>
    </w:p>
    <w:p>
      <w:pPr>
        <w:spacing w:before="0"/>
        <w:ind w:left="1330" w:right="1380" w:firstLine="0"/>
        <w:jc w:val="center"/>
        <w:rPr>
          <w:sz w:val="16"/>
        </w:rPr>
      </w:pPr>
      <w:r>
        <w:rPr>
          <w:color w:val="585858"/>
          <w:sz w:val="22"/>
        </w:rPr>
        <w:t>Tel.</w:t>
      </w:r>
      <w:r>
        <w:rPr>
          <w:color w:val="585858"/>
          <w:spacing w:val="-8"/>
          <w:sz w:val="22"/>
        </w:rPr>
        <w:t> </w:t>
      </w:r>
      <w:r>
        <w:rPr>
          <w:color w:val="585858"/>
          <w:sz w:val="22"/>
        </w:rPr>
        <w:t>+34</w:t>
      </w:r>
      <w:r>
        <w:rPr>
          <w:color w:val="585858"/>
          <w:spacing w:val="-9"/>
          <w:sz w:val="22"/>
        </w:rPr>
        <w:t> </w:t>
      </w:r>
      <w:r>
        <w:rPr>
          <w:color w:val="585858"/>
          <w:sz w:val="22"/>
        </w:rPr>
        <w:t>965139100</w:t>
      </w:r>
      <w:r>
        <w:rPr>
          <w:color w:val="585858"/>
          <w:spacing w:val="-9"/>
          <w:sz w:val="22"/>
        </w:rPr>
        <w:t> </w:t>
      </w:r>
      <w:r>
        <w:rPr>
          <w:color w:val="585858"/>
          <w:sz w:val="22"/>
        </w:rPr>
        <w:t>•</w:t>
      </w:r>
      <w:r>
        <w:rPr>
          <w:color w:val="585858"/>
          <w:spacing w:val="-9"/>
          <w:sz w:val="22"/>
        </w:rPr>
        <w:t> </w:t>
      </w:r>
      <w:hyperlink r:id="rId7">
        <w:r>
          <w:rPr>
            <w:color w:val="0000FF"/>
            <w:spacing w:val="-2"/>
            <w:sz w:val="16"/>
            <w:u w:val="single" w:color="0000FF"/>
          </w:rPr>
          <w:t>www.euipo.europa.eu</w:t>
        </w:r>
      </w:hyperlink>
    </w:p>
    <w:p>
      <w:pPr>
        <w:spacing w:after="0"/>
        <w:jc w:val="center"/>
        <w:rPr>
          <w:sz w:val="16"/>
        </w:rPr>
        <w:sectPr>
          <w:type w:val="continuous"/>
          <w:pgSz w:w="11900" w:h="16840"/>
          <w:pgMar w:top="720" w:bottom="280" w:left="1417" w:right="1417"/>
        </w:sectPr>
      </w:pPr>
    </w:p>
    <w:p>
      <w:pPr>
        <w:pStyle w:val="BodyText"/>
      </w:pPr>
    </w:p>
    <w:p>
      <w:pPr>
        <w:pStyle w:val="BodyText"/>
        <w:spacing w:before="207"/>
      </w:pPr>
    </w:p>
    <w:p>
      <w:pPr>
        <w:tabs>
          <w:tab w:pos="1644" w:val="left" w:leader="none"/>
        </w:tabs>
        <w:spacing w:before="0"/>
        <w:ind w:left="77" w:right="0" w:firstLine="0"/>
        <w:jc w:val="both"/>
        <w:rPr>
          <w:rFonts w:ascii="Arial" w:hAnsi="Arial"/>
          <w:i/>
          <w:sz w:val="22"/>
        </w:rPr>
      </w:pPr>
      <w:r>
        <w:rPr>
          <w:sz w:val="22"/>
        </w:rPr>
        <w:t>Classe</w:t>
      </w:r>
      <w:r>
        <w:rPr>
          <w:spacing w:val="-3"/>
          <w:sz w:val="22"/>
        </w:rPr>
        <w:t> </w:t>
      </w:r>
      <w:r>
        <w:rPr>
          <w:spacing w:val="-10"/>
          <w:sz w:val="22"/>
        </w:rPr>
        <w:t>3</w:t>
      </w:r>
      <w:r>
        <w:rPr>
          <w:sz w:val="22"/>
        </w:rPr>
        <w:tab/>
      </w:r>
      <w:r>
        <w:rPr>
          <w:rFonts w:ascii="Arial" w:hAnsi="Arial"/>
          <w:i/>
          <w:sz w:val="22"/>
        </w:rPr>
        <w:t>Produits</w:t>
      </w:r>
      <w:r>
        <w:rPr>
          <w:rFonts w:ascii="Arial" w:hAnsi="Arial"/>
          <w:i/>
          <w:spacing w:val="-8"/>
          <w:sz w:val="22"/>
        </w:rPr>
        <w:t> </w:t>
      </w:r>
      <w:r>
        <w:rPr>
          <w:rFonts w:ascii="Arial" w:hAnsi="Arial"/>
          <w:i/>
          <w:sz w:val="22"/>
        </w:rPr>
        <w:t>de</w:t>
      </w:r>
      <w:r>
        <w:rPr>
          <w:rFonts w:ascii="Arial" w:hAnsi="Arial"/>
          <w:i/>
          <w:spacing w:val="-4"/>
          <w:sz w:val="22"/>
        </w:rPr>
        <w:t> </w:t>
      </w:r>
      <w:r>
        <w:rPr>
          <w:rFonts w:ascii="Arial" w:hAnsi="Arial"/>
          <w:i/>
          <w:sz w:val="22"/>
        </w:rPr>
        <w:t>parfumerie;</w:t>
      </w:r>
      <w:r>
        <w:rPr>
          <w:rFonts w:ascii="Arial" w:hAnsi="Arial"/>
          <w:i/>
          <w:spacing w:val="-4"/>
          <w:sz w:val="22"/>
        </w:rPr>
        <w:t> </w:t>
      </w:r>
      <w:r>
        <w:rPr>
          <w:rFonts w:ascii="Arial" w:hAnsi="Arial"/>
          <w:i/>
          <w:sz w:val="22"/>
        </w:rPr>
        <w:t>Produits</w:t>
      </w:r>
      <w:r>
        <w:rPr>
          <w:rFonts w:ascii="Arial" w:hAnsi="Arial"/>
          <w:i/>
          <w:spacing w:val="-4"/>
          <w:sz w:val="22"/>
        </w:rPr>
        <w:t> </w:t>
      </w:r>
      <w:r>
        <w:rPr>
          <w:rFonts w:ascii="Arial" w:hAnsi="Arial"/>
          <w:i/>
          <w:sz w:val="22"/>
        </w:rPr>
        <w:t>de</w:t>
      </w:r>
      <w:r>
        <w:rPr>
          <w:rFonts w:ascii="Arial" w:hAnsi="Arial"/>
          <w:i/>
          <w:spacing w:val="-5"/>
          <w:sz w:val="22"/>
        </w:rPr>
        <w:t> </w:t>
      </w:r>
      <w:r>
        <w:rPr>
          <w:rFonts w:ascii="Arial" w:hAnsi="Arial"/>
          <w:i/>
          <w:sz w:val="22"/>
        </w:rPr>
        <w:t>maquillage;</w:t>
      </w:r>
      <w:r>
        <w:rPr>
          <w:rFonts w:ascii="Arial" w:hAnsi="Arial"/>
          <w:i/>
          <w:spacing w:val="-3"/>
          <w:sz w:val="22"/>
        </w:rPr>
        <w:t> </w:t>
      </w:r>
      <w:r>
        <w:rPr>
          <w:rFonts w:ascii="Arial" w:hAnsi="Arial"/>
          <w:i/>
          <w:sz w:val="22"/>
        </w:rPr>
        <w:t>Produits</w:t>
      </w:r>
      <w:r>
        <w:rPr>
          <w:rFonts w:ascii="Arial" w:hAnsi="Arial"/>
          <w:i/>
          <w:spacing w:val="-3"/>
          <w:sz w:val="22"/>
        </w:rPr>
        <w:t> </w:t>
      </w:r>
      <w:r>
        <w:rPr>
          <w:rFonts w:ascii="Arial" w:hAnsi="Arial"/>
          <w:i/>
          <w:spacing w:val="-2"/>
          <w:sz w:val="22"/>
        </w:rPr>
        <w:t>cosmétiques.</w:t>
      </w:r>
    </w:p>
    <w:p>
      <w:pPr>
        <w:pStyle w:val="BodyText"/>
        <w:rPr>
          <w:rFonts w:ascii="Arial"/>
          <w:i/>
        </w:rPr>
      </w:pPr>
    </w:p>
    <w:p>
      <w:pPr>
        <w:pStyle w:val="BodyText"/>
        <w:spacing w:before="175"/>
        <w:rPr>
          <w:rFonts w:ascii="Arial"/>
          <w:i/>
        </w:rPr>
      </w:pPr>
    </w:p>
    <w:p>
      <w:pPr>
        <w:pStyle w:val="BodyText"/>
        <w:ind w:left="25"/>
        <w:jc w:val="both"/>
      </w:pPr>
      <w:r>
        <w:rPr/>
        <w:t>L'objection</w:t>
      </w:r>
      <w:r>
        <w:rPr>
          <w:spacing w:val="-7"/>
        </w:rPr>
        <w:t> </w:t>
      </w:r>
      <w:r>
        <w:rPr/>
        <w:t>était</w:t>
      </w:r>
      <w:r>
        <w:rPr>
          <w:spacing w:val="-5"/>
        </w:rPr>
        <w:t> </w:t>
      </w:r>
      <w:r>
        <w:rPr/>
        <w:t>fondée</w:t>
      </w:r>
      <w:r>
        <w:rPr>
          <w:spacing w:val="-5"/>
        </w:rPr>
        <w:t> </w:t>
      </w:r>
      <w:r>
        <w:rPr/>
        <w:t>sur</w:t>
      </w:r>
      <w:r>
        <w:rPr>
          <w:spacing w:val="-5"/>
        </w:rPr>
        <w:t> </w:t>
      </w:r>
      <w:r>
        <w:rPr/>
        <w:t>les</w:t>
      </w:r>
      <w:r>
        <w:rPr>
          <w:spacing w:val="-5"/>
        </w:rPr>
        <w:t> </w:t>
      </w:r>
      <w:r>
        <w:rPr/>
        <w:t>principales</w:t>
      </w:r>
      <w:r>
        <w:rPr>
          <w:spacing w:val="-5"/>
        </w:rPr>
        <w:t> </w:t>
      </w:r>
      <w:r>
        <w:rPr/>
        <w:t>constatations</w:t>
      </w:r>
      <w:r>
        <w:rPr>
          <w:spacing w:val="-5"/>
        </w:rPr>
        <w:t> </w:t>
      </w:r>
      <w:r>
        <w:rPr>
          <w:spacing w:val="-2"/>
        </w:rPr>
        <w:t>suivantes:</w:t>
      </w:r>
    </w:p>
    <w:p>
      <w:pPr>
        <w:pStyle w:val="BodyText"/>
        <w:spacing w:before="16"/>
      </w:pPr>
    </w:p>
    <w:p>
      <w:pPr>
        <w:spacing w:before="0"/>
        <w:ind w:left="25" w:right="40" w:firstLine="0"/>
        <w:jc w:val="both"/>
        <w:rPr>
          <w:rFonts w:ascii="Arial" w:hAnsi="Arial"/>
          <w:i/>
          <w:sz w:val="22"/>
        </w:rPr>
      </w:pPr>
      <w:r>
        <w:rPr>
          <w:rFonts w:ascii="Arial" w:hAnsi="Arial"/>
          <w:i/>
          <w:sz w:val="22"/>
        </w:rPr>
        <w:t>Le public pertinent ne perçoit pas nécessairement une marque de forme consistant en l’apparence du produit lui-même ou en son emballage de la même manière qu’il perçoit une marque verbale, une marque figurative ou une marque de forme qui ne présente pas une telle apparence. En effet, alors que le public a l’habitude de percevoir immédiatement ces dernières marques comme des signes identificateurs du produit, il n’en va pas nécessairement de même lorsque le signe se confond avec l’aspect du produit lui-même ou de son emballage.</w:t>
      </w:r>
    </w:p>
    <w:p>
      <w:pPr>
        <w:pStyle w:val="BodyText"/>
        <w:rPr>
          <w:rFonts w:ascii="Arial"/>
          <w:i/>
        </w:rPr>
      </w:pPr>
    </w:p>
    <w:p>
      <w:pPr>
        <w:spacing w:before="1"/>
        <w:ind w:left="25" w:right="37" w:firstLine="0"/>
        <w:jc w:val="both"/>
        <w:rPr>
          <w:rFonts w:ascii="Arial" w:hAnsi="Arial"/>
          <w:i/>
          <w:sz w:val="22"/>
        </w:rPr>
      </w:pPr>
      <w:r>
        <w:rPr>
          <w:rFonts w:ascii="Arial" w:hAnsi="Arial"/>
          <w:i/>
          <w:sz w:val="22"/>
        </w:rPr>
        <w:t>L’aspect de la marque pour laquelle la protection est demandée ne diverge pas de manière significative des normes et habitudes du secteur concerné. Le consommateur final sera habituellement plus attentif à l’étiquette ou au nom du produit qu’à sa forme ou à son </w:t>
      </w:r>
      <w:r>
        <w:rPr>
          <w:rFonts w:ascii="Arial" w:hAnsi="Arial"/>
          <w:i/>
          <w:spacing w:val="-2"/>
          <w:sz w:val="22"/>
        </w:rPr>
        <w:t>emballage.</w:t>
      </w:r>
    </w:p>
    <w:p>
      <w:pPr>
        <w:pStyle w:val="BodyText"/>
        <w:spacing w:before="1"/>
        <w:rPr>
          <w:rFonts w:ascii="Arial"/>
          <w:i/>
        </w:rPr>
      </w:pPr>
    </w:p>
    <w:p>
      <w:pPr>
        <w:spacing w:before="0"/>
        <w:ind w:left="25" w:right="37" w:firstLine="0"/>
        <w:jc w:val="both"/>
        <w:rPr>
          <w:rFonts w:ascii="Arial" w:hAnsi="Arial"/>
          <w:i/>
          <w:sz w:val="22"/>
        </w:rPr>
      </w:pPr>
      <w:r>
        <w:rPr>
          <w:rFonts w:ascii="Arial" w:hAnsi="Arial"/>
          <w:i/>
          <w:sz w:val="22"/>
        </w:rPr>
        <w:t>Le signe consiste simplement en une combinaison d’éléments de présentation, à savoir un bouchon de bouteille de cosmétiques (parfum, maquillage etc…), et cela serait vu par le consommateur pertinent comme étant typique des formes de bouchon pour ces produits pour lesquels une objection a été formulée. Ces formes ne se différencient pas substantiellement de diverses formes communément utilisées dans le commerce pour les produits, mais consistent en de simples variantes.</w:t>
      </w:r>
    </w:p>
    <w:p>
      <w:pPr>
        <w:spacing w:before="252"/>
        <w:ind w:left="25" w:right="40" w:firstLine="0"/>
        <w:jc w:val="both"/>
        <w:rPr>
          <w:rFonts w:ascii="Arial" w:hAnsi="Arial"/>
          <w:i/>
          <w:sz w:val="22"/>
        </w:rPr>
      </w:pPr>
      <w:r>
        <w:rPr>
          <w:rFonts w:ascii="Arial" w:hAnsi="Arial"/>
          <w:i/>
          <w:sz w:val="22"/>
        </w:rPr>
        <w:t>Ces formes ne se différencient pas substantiellement de diverses formes communément utilisées dans le commerce en ce qui concerne les produits pour lesquels une objection a été formulée. Ce fait est étayé par les recherche suivante sur l’internet:</w:t>
      </w:r>
    </w:p>
    <w:p>
      <w:pPr>
        <w:pStyle w:val="BodyText"/>
        <w:rPr>
          <w:rFonts w:ascii="Arial"/>
          <w:i/>
        </w:rPr>
      </w:pPr>
    </w:p>
    <w:p>
      <w:pPr>
        <w:pStyle w:val="BodyText"/>
        <w:spacing w:before="1"/>
        <w:rPr>
          <w:rFonts w:ascii="Arial"/>
          <w:i/>
        </w:rPr>
      </w:pPr>
    </w:p>
    <w:p>
      <w:pPr>
        <w:spacing w:before="0"/>
        <w:ind w:left="25" w:right="0" w:firstLine="0"/>
        <w:jc w:val="left"/>
        <w:rPr>
          <w:rFonts w:ascii="Arial"/>
          <w:b/>
          <w:i/>
          <w:sz w:val="22"/>
        </w:rPr>
      </w:pPr>
      <w:hyperlink r:id="rId9">
        <w:r>
          <w:rPr>
            <w:rFonts w:ascii="Arial"/>
            <w:b/>
            <w:i/>
            <w:color w:val="457785"/>
            <w:spacing w:val="-2"/>
            <w:sz w:val="22"/>
            <w:u w:val="single" w:color="457785"/>
          </w:rPr>
          <w:t>https://www.alibaba.com/product-detail/Free-sample-20ml-ball-cap-</w:t>
        </w:r>
      </w:hyperlink>
      <w:r>
        <w:rPr>
          <w:rFonts w:ascii="Arial"/>
          <w:b/>
          <w:i/>
          <w:color w:val="457785"/>
          <w:spacing w:val="-2"/>
          <w:sz w:val="22"/>
        </w:rPr>
        <w:t> </w:t>
      </w:r>
      <w:hyperlink r:id="rId9">
        <w:r>
          <w:rPr>
            <w:rFonts w:ascii="Arial"/>
            <w:b/>
            <w:i/>
            <w:color w:val="457785"/>
            <w:spacing w:val="-2"/>
            <w:sz w:val="22"/>
            <w:u w:val="single" w:color="457785"/>
          </w:rPr>
          <w:t>mushroom_1600895244672.html</w:t>
        </w:r>
      </w:hyperlink>
    </w:p>
    <w:p>
      <w:pPr>
        <w:spacing w:before="252"/>
        <w:ind w:left="25" w:right="0" w:firstLine="0"/>
        <w:jc w:val="left"/>
        <w:rPr>
          <w:rFonts w:ascii="Arial"/>
          <w:i/>
          <w:sz w:val="22"/>
        </w:rPr>
      </w:pPr>
      <w:hyperlink r:id="rId10">
        <w:r>
          <w:rPr>
            <w:rFonts w:ascii="Arial"/>
            <w:i/>
            <w:color w:val="457785"/>
            <w:spacing w:val="-2"/>
            <w:sz w:val="22"/>
            <w:u w:val="single" w:color="457785"/>
          </w:rPr>
          <w:t>https://www.alibaba.com/showroom/spherical-cosmetic-bottle.html</w:t>
        </w:r>
      </w:hyperlink>
    </w:p>
    <w:p>
      <w:pPr>
        <w:pStyle w:val="BodyText"/>
        <w:rPr>
          <w:rFonts w:ascii="Arial"/>
          <w:i/>
        </w:rPr>
      </w:pPr>
    </w:p>
    <w:p>
      <w:pPr>
        <w:spacing w:before="0"/>
        <w:ind w:left="25" w:right="0" w:firstLine="0"/>
        <w:jc w:val="left"/>
        <w:rPr>
          <w:rFonts w:ascii="Arial"/>
          <w:i/>
          <w:sz w:val="22"/>
        </w:rPr>
      </w:pPr>
      <w:r>
        <w:rPr>
          <w:rFonts w:ascii="Arial"/>
          <w:i/>
          <w:spacing w:val="-2"/>
          <w:sz w:val="22"/>
        </w:rPr>
        <w:t>https://</w:t>
      </w:r>
      <w:hyperlink r:id="rId11">
        <w:r>
          <w:rPr>
            <w:rFonts w:ascii="Arial"/>
            <w:i/>
            <w:spacing w:val="-2"/>
            <w:sz w:val="22"/>
          </w:rPr>
          <w:t>www.shutterstock.com/image-photo/makeup-product-pearl-seashell-on-emerald-</w:t>
        </w:r>
      </w:hyperlink>
      <w:r>
        <w:rPr>
          <w:rFonts w:ascii="Arial"/>
          <w:i/>
          <w:spacing w:val="-2"/>
          <w:sz w:val="22"/>
        </w:rPr>
        <w:t> 2364369681?consentChanged=true</w:t>
      </w:r>
    </w:p>
    <w:p>
      <w:pPr>
        <w:pStyle w:val="BodyText"/>
        <w:spacing w:before="1"/>
        <w:rPr>
          <w:rFonts w:ascii="Arial"/>
          <w:i/>
        </w:rPr>
      </w:pPr>
    </w:p>
    <w:p>
      <w:pPr>
        <w:spacing w:before="0"/>
        <w:ind w:left="25" w:right="0" w:firstLine="0"/>
        <w:jc w:val="left"/>
        <w:rPr>
          <w:rFonts w:ascii="Arial" w:hAnsi="Arial"/>
          <w:i/>
          <w:sz w:val="22"/>
        </w:rPr>
      </w:pPr>
      <w:r>
        <w:rPr>
          <w:rFonts w:ascii="Arial" w:hAnsi="Arial"/>
          <w:i/>
          <w:sz w:val="22"/>
        </w:rPr>
        <w:t>Le signe est donc dépourvu de tout caractère distinctif au sens de l’article 7, paragraphe 1, point b), du RMUE.</w:t>
      </w:r>
    </w:p>
    <w:p>
      <w:pPr>
        <w:pStyle w:val="ListParagraph"/>
        <w:numPr>
          <w:ilvl w:val="0"/>
          <w:numId w:val="1"/>
        </w:numPr>
        <w:tabs>
          <w:tab w:pos="268" w:val="left" w:leader="none"/>
        </w:tabs>
        <w:spacing w:line="240" w:lineRule="auto" w:before="252" w:after="0"/>
        <w:ind w:left="268" w:right="0" w:hanging="243"/>
        <w:jc w:val="left"/>
        <w:rPr>
          <w:rFonts w:ascii="Arial" w:hAnsi="Arial"/>
          <w:b/>
          <w:sz w:val="22"/>
        </w:rPr>
      </w:pPr>
      <w:r>
        <w:rPr>
          <w:rFonts w:ascii="Arial" w:hAnsi="Arial"/>
          <w:b/>
          <w:sz w:val="22"/>
        </w:rPr>
        <w:t>Résumé</w:t>
      </w:r>
      <w:r>
        <w:rPr>
          <w:rFonts w:ascii="Arial" w:hAnsi="Arial"/>
          <w:b/>
          <w:spacing w:val="-3"/>
          <w:sz w:val="22"/>
        </w:rPr>
        <w:t> </w:t>
      </w:r>
      <w:r>
        <w:rPr>
          <w:rFonts w:ascii="Arial" w:hAnsi="Arial"/>
          <w:b/>
          <w:sz w:val="22"/>
        </w:rPr>
        <w:t>des</w:t>
      </w:r>
      <w:r>
        <w:rPr>
          <w:rFonts w:ascii="Arial" w:hAnsi="Arial"/>
          <w:b/>
          <w:spacing w:val="-2"/>
          <w:sz w:val="22"/>
        </w:rPr>
        <w:t> </w:t>
      </w:r>
      <w:r>
        <w:rPr>
          <w:rFonts w:ascii="Arial" w:hAnsi="Arial"/>
          <w:b/>
          <w:sz w:val="22"/>
        </w:rPr>
        <w:t>arguments</w:t>
      </w:r>
      <w:r>
        <w:rPr>
          <w:rFonts w:ascii="Arial" w:hAnsi="Arial"/>
          <w:b/>
          <w:spacing w:val="-3"/>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4"/>
          <w:sz w:val="22"/>
        </w:rPr>
        <w:t> </w:t>
      </w:r>
      <w:r>
        <w:rPr>
          <w:rFonts w:ascii="Arial" w:hAnsi="Arial"/>
          <w:b/>
          <w:spacing w:val="-2"/>
          <w:sz w:val="22"/>
        </w:rPr>
        <w:t>demanderesse</w:t>
      </w:r>
    </w:p>
    <w:p>
      <w:pPr>
        <w:pStyle w:val="BodyText"/>
        <w:spacing w:before="16"/>
        <w:rPr>
          <w:rFonts w:ascii="Arial"/>
          <w:b/>
        </w:rPr>
      </w:pPr>
    </w:p>
    <w:p>
      <w:pPr>
        <w:pStyle w:val="BodyText"/>
        <w:ind w:left="25"/>
      </w:pPr>
      <w:r>
        <w:rPr/>
        <w:t>En date du 23/09/2024 et du 10/02/2025 la demanderesse a présenté ses observations qui peuvent se résumer comme suit:</w:t>
      </w:r>
    </w:p>
    <w:p>
      <w:pPr>
        <w:pStyle w:val="BodyText"/>
        <w:spacing w:before="17"/>
      </w:pPr>
    </w:p>
    <w:p>
      <w:pPr>
        <w:pStyle w:val="ListParagraph"/>
        <w:numPr>
          <w:ilvl w:val="1"/>
          <w:numId w:val="1"/>
        </w:numPr>
        <w:tabs>
          <w:tab w:pos="983" w:val="left" w:leader="none"/>
        </w:tabs>
        <w:spacing w:line="240" w:lineRule="auto" w:before="0" w:after="0"/>
        <w:ind w:left="983" w:right="0" w:hanging="358"/>
        <w:jc w:val="left"/>
        <w:rPr>
          <w:sz w:val="22"/>
        </w:rPr>
      </w:pPr>
      <w:r>
        <w:rPr>
          <w:sz w:val="22"/>
        </w:rPr>
        <w:t>La</w:t>
      </w:r>
      <w:r>
        <w:rPr>
          <w:spacing w:val="-3"/>
          <w:sz w:val="22"/>
        </w:rPr>
        <w:t> </w:t>
      </w:r>
      <w:r>
        <w:rPr>
          <w:sz w:val="22"/>
        </w:rPr>
        <w:t>marque</w:t>
      </w:r>
      <w:r>
        <w:rPr>
          <w:spacing w:val="-2"/>
          <w:sz w:val="22"/>
        </w:rPr>
        <w:t> </w:t>
      </w:r>
      <w:r>
        <w:rPr>
          <w:sz w:val="22"/>
        </w:rPr>
        <w:t>a</w:t>
      </w:r>
      <w:r>
        <w:rPr>
          <w:spacing w:val="-2"/>
          <w:sz w:val="22"/>
        </w:rPr>
        <w:t> </w:t>
      </w:r>
      <w:r>
        <w:rPr>
          <w:sz w:val="22"/>
        </w:rPr>
        <w:t>été</w:t>
      </w:r>
      <w:r>
        <w:rPr>
          <w:spacing w:val="-3"/>
          <w:sz w:val="22"/>
        </w:rPr>
        <w:t> </w:t>
      </w:r>
      <w:r>
        <w:rPr>
          <w:sz w:val="22"/>
        </w:rPr>
        <w:t>enregistrée</w:t>
      </w:r>
      <w:r>
        <w:rPr>
          <w:spacing w:val="-2"/>
          <w:sz w:val="22"/>
        </w:rPr>
        <w:t> </w:t>
      </w:r>
      <w:r>
        <w:rPr>
          <w:sz w:val="22"/>
        </w:rPr>
        <w:t>à</w:t>
      </w:r>
      <w:r>
        <w:rPr>
          <w:spacing w:val="-2"/>
          <w:sz w:val="22"/>
        </w:rPr>
        <w:t> l´INPI</w:t>
      </w:r>
    </w:p>
    <w:p>
      <w:pPr>
        <w:pStyle w:val="ListParagraph"/>
        <w:spacing w:after="0" w:line="240" w:lineRule="auto"/>
        <w:jc w:val="left"/>
        <w:rPr>
          <w:sz w:val="22"/>
        </w:rPr>
        <w:sectPr>
          <w:headerReference w:type="default" r:id="rId8"/>
          <w:pgSz w:w="11900" w:h="16840"/>
          <w:pgMar w:header="727" w:footer="0" w:top="980" w:bottom="280" w:left="1417" w:right="1417"/>
          <w:pgNumType w:start="2"/>
        </w:sectPr>
      </w:pPr>
    </w:p>
    <w:p>
      <w:pPr>
        <w:pStyle w:val="BodyText"/>
        <w:spacing w:before="192"/>
      </w:pPr>
    </w:p>
    <w:p>
      <w:pPr>
        <w:pStyle w:val="ListParagraph"/>
        <w:numPr>
          <w:ilvl w:val="1"/>
          <w:numId w:val="1"/>
        </w:numPr>
        <w:tabs>
          <w:tab w:pos="983" w:val="left" w:leader="none"/>
          <w:tab w:pos="985" w:val="left" w:leader="none"/>
        </w:tabs>
        <w:spacing w:line="240" w:lineRule="auto" w:before="0" w:after="0"/>
        <w:ind w:left="985" w:right="24" w:hanging="360"/>
        <w:jc w:val="both"/>
        <w:rPr>
          <w:sz w:val="22"/>
        </w:rPr>
      </w:pPr>
      <w:r>
        <w:rPr>
          <w:sz w:val="22"/>
        </w:rPr>
        <w:t>Ces produits sont des produits que le consommateur applique sur la peau ou les cheveux. Il apporte donc un degré d’attention élevé pour le choix de ces produits.</w:t>
      </w:r>
    </w:p>
    <w:p>
      <w:pPr>
        <w:pStyle w:val="BodyText"/>
      </w:pPr>
    </w:p>
    <w:p>
      <w:pPr>
        <w:pStyle w:val="BodyText"/>
      </w:pPr>
    </w:p>
    <w:p>
      <w:pPr>
        <w:pStyle w:val="BodyText"/>
      </w:pPr>
    </w:p>
    <w:p>
      <w:pPr>
        <w:pStyle w:val="BodyText"/>
      </w:pPr>
    </w:p>
    <w:p>
      <w:pPr>
        <w:pStyle w:val="BodyText"/>
      </w:pPr>
    </w:p>
    <w:p>
      <w:pPr>
        <w:pStyle w:val="BodyText"/>
        <w:spacing w:before="64"/>
      </w:pPr>
    </w:p>
    <w:p>
      <w:pPr>
        <w:pStyle w:val="ListParagraph"/>
        <w:numPr>
          <w:ilvl w:val="1"/>
          <w:numId w:val="1"/>
        </w:numPr>
        <w:tabs>
          <w:tab w:pos="983" w:val="left" w:leader="none"/>
          <w:tab w:pos="985" w:val="left" w:leader="none"/>
        </w:tabs>
        <w:spacing w:line="240" w:lineRule="auto" w:before="1" w:after="0"/>
        <w:ind w:left="985" w:right="25" w:hanging="360"/>
        <w:jc w:val="both"/>
        <w:rPr>
          <w:sz w:val="22"/>
        </w:rPr>
      </w:pPr>
      <w:r>
        <w:rPr>
          <w:sz w:val="22"/>
        </w:rPr>
        <w:t>Nulle part est-il décrit – ni dans les produits désignés ni dans une description optionnelle – qu’il s’agit de la représentation d’un « bouchon de bouteille de</w:t>
      </w:r>
      <w:r>
        <w:rPr>
          <w:spacing w:val="40"/>
          <w:sz w:val="22"/>
        </w:rPr>
        <w:t> </w:t>
      </w:r>
      <w:r>
        <w:rPr>
          <w:sz w:val="22"/>
        </w:rPr>
        <w:t>parfum ».</w:t>
      </w:r>
    </w:p>
    <w:p>
      <w:pPr>
        <w:pStyle w:val="BodyText"/>
      </w:pPr>
    </w:p>
    <w:p>
      <w:pPr>
        <w:pStyle w:val="BodyText"/>
      </w:pPr>
    </w:p>
    <w:p>
      <w:pPr>
        <w:pStyle w:val="BodyText"/>
      </w:pPr>
    </w:p>
    <w:p>
      <w:pPr>
        <w:pStyle w:val="BodyText"/>
      </w:pPr>
    </w:p>
    <w:p>
      <w:pPr>
        <w:pStyle w:val="BodyText"/>
        <w:spacing w:before="64"/>
      </w:pPr>
    </w:p>
    <w:p>
      <w:pPr>
        <w:pStyle w:val="ListParagraph"/>
        <w:numPr>
          <w:ilvl w:val="1"/>
          <w:numId w:val="1"/>
        </w:numPr>
        <w:tabs>
          <w:tab w:pos="983" w:val="left" w:leader="none"/>
          <w:tab w:pos="985" w:val="left" w:leader="none"/>
        </w:tabs>
        <w:spacing w:line="240" w:lineRule="auto" w:before="0" w:after="0"/>
        <w:ind w:left="985" w:right="17" w:hanging="360"/>
        <w:jc w:val="both"/>
        <w:rPr>
          <w:sz w:val="22"/>
        </w:rPr>
      </w:pPr>
      <w:r>
        <w:rPr>
          <w:sz w:val="22"/>
        </w:rPr>
        <w:t>Le signe n’est pas présenté comme un bouchon sur un flacon de parfum comme pourrait l’être une marque de position. La sphère d´apparence pleine, pourrait dissimuler une ingéniosité permettant de contenir un parfum, du maquillage ou</w:t>
      </w:r>
      <w:r>
        <w:rPr>
          <w:spacing w:val="40"/>
          <w:sz w:val="22"/>
        </w:rPr>
        <w:t> </w:t>
      </w:r>
      <w:r>
        <w:rPr>
          <w:sz w:val="22"/>
        </w:rPr>
        <w:t>une crème.</w:t>
      </w:r>
    </w:p>
    <w:p>
      <w:pPr>
        <w:pStyle w:val="BodyText"/>
      </w:pPr>
    </w:p>
    <w:p>
      <w:pPr>
        <w:pStyle w:val="BodyText"/>
      </w:pPr>
    </w:p>
    <w:p>
      <w:pPr>
        <w:pStyle w:val="BodyText"/>
      </w:pPr>
    </w:p>
    <w:p>
      <w:pPr>
        <w:pStyle w:val="BodyText"/>
      </w:pPr>
    </w:p>
    <w:p>
      <w:pPr>
        <w:pStyle w:val="BodyText"/>
        <w:spacing w:before="65"/>
      </w:pPr>
    </w:p>
    <w:p>
      <w:pPr>
        <w:pStyle w:val="ListParagraph"/>
        <w:numPr>
          <w:ilvl w:val="1"/>
          <w:numId w:val="1"/>
        </w:numPr>
        <w:tabs>
          <w:tab w:pos="983" w:val="left" w:leader="none"/>
          <w:tab w:pos="985" w:val="left" w:leader="none"/>
        </w:tabs>
        <w:spacing w:line="240" w:lineRule="auto" w:before="0" w:after="0"/>
        <w:ind w:left="985" w:right="23" w:hanging="360"/>
        <w:jc w:val="both"/>
        <w:rPr>
          <w:sz w:val="22"/>
        </w:rPr>
      </w:pPr>
      <w:r>
        <w:rPr>
          <w:sz w:val="22"/>
        </w:rPr>
        <w:t>Avant même de connaître la fragrance d’un parfum ou la texture d’une crème, le consommateur est charmé par l'apparence artistique du flacon ou du packaging, qui devient une promesse de qualité et d'exclusivité. Cette séduction visuelle est un puissant vecteur émotionnel, créant un lien anticipatif avec le produit.</w:t>
      </w:r>
    </w:p>
    <w:p>
      <w:pPr>
        <w:pStyle w:val="BodyText"/>
        <w:spacing w:before="15"/>
      </w:pPr>
    </w:p>
    <w:p>
      <w:pPr>
        <w:pStyle w:val="ListParagraph"/>
        <w:numPr>
          <w:ilvl w:val="1"/>
          <w:numId w:val="1"/>
        </w:numPr>
        <w:tabs>
          <w:tab w:pos="983" w:val="left" w:leader="none"/>
          <w:tab w:pos="985" w:val="left" w:leader="none"/>
        </w:tabs>
        <w:spacing w:line="240" w:lineRule="auto" w:before="0" w:after="0"/>
        <w:ind w:left="985" w:right="21" w:hanging="360"/>
        <w:jc w:val="both"/>
        <w:rPr>
          <w:sz w:val="22"/>
        </w:rPr>
      </w:pPr>
      <w:r>
        <w:rPr>
          <w:sz w:val="22"/>
        </w:rPr>
        <w:t>La demanderesse se donne le droit d´apporter le caractère distinctif acquis par l’usage à titre subsidiaire.</w:t>
      </w:r>
    </w:p>
    <w:p>
      <w:pPr>
        <w:pStyle w:val="BodyText"/>
        <w:spacing w:before="1"/>
      </w:pPr>
    </w:p>
    <w:p>
      <w:pPr>
        <w:pStyle w:val="ListParagraph"/>
        <w:numPr>
          <w:ilvl w:val="0"/>
          <w:numId w:val="1"/>
        </w:numPr>
        <w:tabs>
          <w:tab w:pos="328" w:val="left" w:leader="none"/>
        </w:tabs>
        <w:spacing w:line="240" w:lineRule="auto" w:before="0" w:after="0"/>
        <w:ind w:left="328" w:right="0" w:hanging="303"/>
        <w:jc w:val="left"/>
        <w:rPr>
          <w:rFonts w:ascii="Arial" w:hAnsi="Arial"/>
          <w:b/>
          <w:sz w:val="22"/>
        </w:rPr>
      </w:pPr>
      <w:r>
        <w:rPr>
          <w:rFonts w:ascii="Arial" w:hAnsi="Arial"/>
          <w:b/>
          <w:sz w:val="22"/>
        </w:rPr>
        <w:t>Motifs</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décision</w:t>
      </w:r>
    </w:p>
    <w:p>
      <w:pPr>
        <w:pStyle w:val="BodyText"/>
        <w:spacing w:before="16"/>
        <w:rPr>
          <w:rFonts w:ascii="Arial"/>
          <w:b/>
        </w:rPr>
      </w:pPr>
    </w:p>
    <w:p>
      <w:pPr>
        <w:pStyle w:val="BodyText"/>
        <w:ind w:left="25" w:right="23"/>
        <w:jc w:val="both"/>
      </w:pPr>
      <w:r>
        <w:rPr/>
        <w:t>Conformément à l’article 94 du RMUE, il appartient à l’Office de rendre une décision fondée sur des motifs ou des preuves au sujet desquels la/le demanderesse a pu prendre position.</w:t>
      </w:r>
    </w:p>
    <w:p>
      <w:pPr>
        <w:pStyle w:val="BodyText"/>
        <w:spacing w:before="23"/>
      </w:pPr>
    </w:p>
    <w:p>
      <w:pPr>
        <w:pStyle w:val="BodyText"/>
        <w:ind w:left="25" w:right="18"/>
        <w:jc w:val="both"/>
      </w:pPr>
      <w:r>
        <w:rPr/>
        <w:t>Après un examen approfondi de l’argumentation présentée par la demanderesse, l’Office a décidé de maintenir son objection.</w:t>
      </w:r>
    </w:p>
    <w:p>
      <w:pPr>
        <w:pStyle w:val="BodyText"/>
        <w:spacing w:before="252"/>
        <w:ind w:left="25" w:right="15"/>
        <w:jc w:val="both"/>
      </w:pPr>
      <w:r>
        <w:rPr/>
        <w:t>Il est de jurisprudence constante que chacun des motifs de refus d’enregistrement</w:t>
      </w:r>
      <w:r>
        <w:rPr>
          <w:spacing w:val="80"/>
        </w:rPr>
        <w:t> </w:t>
      </w:r>
      <w:r>
        <w:rPr/>
        <w:t>énumérés à l’article 7, paragraphe</w:t>
      </w:r>
      <w:r>
        <w:rPr>
          <w:spacing w:val="-2"/>
        </w:rPr>
        <w:t> </w:t>
      </w:r>
      <w:r>
        <w:rPr/>
        <w:t>1, du RMUE est indépendant des autres et exige un examen séparé. En outre, il convient d’interpréter lesdits motifs de refus à la lumière de l’intérêt</w:t>
      </w:r>
      <w:r>
        <w:rPr>
          <w:spacing w:val="-3"/>
        </w:rPr>
        <w:t> </w:t>
      </w:r>
      <w:r>
        <w:rPr/>
        <w:t>général</w:t>
      </w:r>
      <w:r>
        <w:rPr>
          <w:spacing w:val="-3"/>
        </w:rPr>
        <w:t> </w:t>
      </w:r>
      <w:r>
        <w:rPr/>
        <w:t>qui</w:t>
      </w:r>
      <w:r>
        <w:rPr>
          <w:spacing w:val="-3"/>
        </w:rPr>
        <w:t> </w:t>
      </w:r>
      <w:r>
        <w:rPr/>
        <w:t>sous-tend</w:t>
      </w:r>
      <w:r>
        <w:rPr>
          <w:spacing w:val="-2"/>
        </w:rPr>
        <w:t> </w:t>
      </w:r>
      <w:r>
        <w:rPr/>
        <w:t>chacun</w:t>
      </w:r>
      <w:r>
        <w:rPr>
          <w:spacing w:val="-2"/>
        </w:rPr>
        <w:t> </w:t>
      </w:r>
      <w:r>
        <w:rPr/>
        <w:t>d’entre</w:t>
      </w:r>
      <w:r>
        <w:rPr>
          <w:spacing w:val="-2"/>
        </w:rPr>
        <w:t> </w:t>
      </w:r>
      <w:r>
        <w:rPr/>
        <w:t>eux.</w:t>
      </w:r>
      <w:r>
        <w:rPr>
          <w:spacing w:val="-3"/>
        </w:rPr>
        <w:t> </w:t>
      </w:r>
      <w:r>
        <w:rPr/>
        <w:t>L’intérêt</w:t>
      </w:r>
      <w:r>
        <w:rPr>
          <w:spacing w:val="-3"/>
        </w:rPr>
        <w:t> </w:t>
      </w:r>
      <w:r>
        <w:rPr/>
        <w:t>général</w:t>
      </w:r>
      <w:r>
        <w:rPr>
          <w:spacing w:val="-3"/>
        </w:rPr>
        <w:t> </w:t>
      </w:r>
      <w:r>
        <w:rPr/>
        <w:t>pris</w:t>
      </w:r>
      <w:r>
        <w:rPr>
          <w:spacing w:val="-2"/>
        </w:rPr>
        <w:t> </w:t>
      </w:r>
      <w:r>
        <w:rPr/>
        <w:t>en</w:t>
      </w:r>
      <w:r>
        <w:rPr>
          <w:spacing w:val="-4"/>
        </w:rPr>
        <w:t> </w:t>
      </w:r>
      <w:r>
        <w:rPr/>
        <w:t>considération</w:t>
      </w:r>
      <w:r>
        <w:rPr>
          <w:spacing w:val="-2"/>
        </w:rPr>
        <w:t> </w:t>
      </w:r>
      <w:r>
        <w:rPr/>
        <w:t>lors de l’examen de chacun de ces motifs de refus doit refléter des considérations différentes, selon le motif de refus en cause (16/09/2004, C-329/02 P, SAT/2, EU:C:2004:532, § 25).</w:t>
      </w:r>
    </w:p>
    <w:p>
      <w:pPr>
        <w:pStyle w:val="BodyText"/>
        <w:spacing w:before="1"/>
      </w:pPr>
    </w:p>
    <w:p>
      <w:pPr>
        <w:pStyle w:val="BodyText"/>
        <w:ind w:left="25" w:right="18"/>
        <w:jc w:val="both"/>
      </w:pPr>
      <w:r>
        <w:rPr/>
        <w:t>Les marques visées par l’article 7, paragraphe</w:t>
      </w:r>
      <w:r>
        <w:rPr>
          <w:spacing w:val="-3"/>
        </w:rPr>
        <w:t> </w:t>
      </w:r>
      <w:r>
        <w:rPr/>
        <w:t>1, point</w:t>
      </w:r>
      <w:r>
        <w:rPr>
          <w:spacing w:val="-3"/>
        </w:rPr>
        <w:t> </w:t>
      </w:r>
      <w:r>
        <w:rPr/>
        <w:t>b), du RMUE sont notamment celles qui ne permettent pas au public pertinent de faire, lors d'une acquisition ultérieure, le même choix si l'expérience s'avère positive ou de faire un autre choix si elle s'avère négative (27/02/2002, T-79/00, Lite, EU:T:2002:42, § 26).</w:t>
      </w:r>
    </w:p>
    <w:p>
      <w:pPr>
        <w:pStyle w:val="BodyText"/>
        <w:spacing w:before="252"/>
        <w:ind w:left="25"/>
        <w:jc w:val="both"/>
      </w:pPr>
      <w:r>
        <w:rPr/>
        <w:t>Il</w:t>
      </w:r>
      <w:r>
        <w:rPr>
          <w:spacing w:val="5"/>
        </w:rPr>
        <w:t> </w:t>
      </w:r>
      <w:r>
        <w:rPr/>
        <w:t>est</w:t>
      </w:r>
      <w:r>
        <w:rPr>
          <w:spacing w:val="8"/>
        </w:rPr>
        <w:t> </w:t>
      </w:r>
      <w:r>
        <w:rPr/>
        <w:t>de</w:t>
      </w:r>
      <w:r>
        <w:rPr>
          <w:spacing w:val="9"/>
        </w:rPr>
        <w:t> </w:t>
      </w:r>
      <w:r>
        <w:rPr/>
        <w:t>jurisprudence</w:t>
      </w:r>
      <w:r>
        <w:rPr>
          <w:spacing w:val="9"/>
        </w:rPr>
        <w:t> </w:t>
      </w:r>
      <w:r>
        <w:rPr/>
        <w:t>constante</w:t>
      </w:r>
      <w:r>
        <w:rPr>
          <w:spacing w:val="6"/>
        </w:rPr>
        <w:t> </w:t>
      </w:r>
      <w:r>
        <w:rPr/>
        <w:t>que</w:t>
      </w:r>
      <w:r>
        <w:rPr>
          <w:spacing w:val="9"/>
        </w:rPr>
        <w:t> </w:t>
      </w:r>
      <w:r>
        <w:rPr/>
        <w:t>le</w:t>
      </w:r>
      <w:r>
        <w:rPr>
          <w:spacing w:val="7"/>
        </w:rPr>
        <w:t> </w:t>
      </w:r>
      <w:r>
        <w:rPr/>
        <w:t>caractère</w:t>
      </w:r>
      <w:r>
        <w:rPr>
          <w:spacing w:val="7"/>
        </w:rPr>
        <w:t> </w:t>
      </w:r>
      <w:r>
        <w:rPr/>
        <w:t>distinctif</w:t>
      </w:r>
      <w:r>
        <w:rPr>
          <w:spacing w:val="8"/>
        </w:rPr>
        <w:t> </w:t>
      </w:r>
      <w:r>
        <w:rPr/>
        <w:t>d’un</w:t>
      </w:r>
      <w:r>
        <w:rPr>
          <w:spacing w:val="6"/>
        </w:rPr>
        <w:t> </w:t>
      </w:r>
      <w:r>
        <w:rPr/>
        <w:t>signe</w:t>
      </w:r>
      <w:r>
        <w:rPr>
          <w:spacing w:val="7"/>
        </w:rPr>
        <w:t> </w:t>
      </w:r>
      <w:r>
        <w:rPr/>
        <w:t>ne</w:t>
      </w:r>
      <w:r>
        <w:rPr>
          <w:spacing w:val="9"/>
        </w:rPr>
        <w:t> </w:t>
      </w:r>
      <w:r>
        <w:rPr/>
        <w:t>peut</w:t>
      </w:r>
      <w:r>
        <w:rPr>
          <w:spacing w:val="8"/>
        </w:rPr>
        <w:t> </w:t>
      </w:r>
      <w:r>
        <w:rPr/>
        <w:t>être</w:t>
      </w:r>
      <w:r>
        <w:rPr>
          <w:spacing w:val="9"/>
        </w:rPr>
        <w:t> </w:t>
      </w:r>
      <w:r>
        <w:rPr>
          <w:spacing w:val="-2"/>
        </w:rPr>
        <w:t>apprécié</w:t>
      </w:r>
    </w:p>
    <w:p>
      <w:pPr>
        <w:pStyle w:val="BodyText"/>
        <w:spacing w:after="0"/>
        <w:jc w:val="both"/>
        <w:sectPr>
          <w:pgSz w:w="11900" w:h="16840"/>
          <w:pgMar w:header="727" w:footer="0" w:top="980" w:bottom="280" w:left="1417" w:right="1417"/>
        </w:sectPr>
      </w:pPr>
    </w:p>
    <w:p>
      <w:pPr>
        <w:pStyle w:val="BodyText"/>
        <w:spacing w:before="192"/>
      </w:pPr>
    </w:p>
    <w:p>
      <w:pPr>
        <w:pStyle w:val="BodyText"/>
        <w:ind w:left="25" w:right="11"/>
        <w:jc w:val="both"/>
      </w:pPr>
      <w:r>
        <w:rPr/>
        <w:t>que, d’une part, par rapport aux produits ou aux services pour lesquels l’enregistrement est demandé et, d’autre part, par rapport à la perception qu’en a le public pertinent (09/10/2002, T-360/00, UltraPlus, EU:T:2002:244, § 43).</w:t>
      </w:r>
    </w:p>
    <w:p>
      <w:pPr>
        <w:pStyle w:val="BodyText"/>
      </w:pPr>
    </w:p>
    <w:p>
      <w:pPr>
        <w:pStyle w:val="BodyText"/>
        <w:ind w:left="25" w:right="16"/>
        <w:jc w:val="both"/>
      </w:pPr>
      <w:r>
        <w:rPr/>
        <w:t>Le signe tridimensionnel en litige est constitué d'une combinaison de caractéristiques visuelles</w:t>
      </w:r>
      <w:r>
        <w:rPr>
          <w:spacing w:val="-1"/>
        </w:rPr>
        <w:t> </w:t>
      </w:r>
      <w:r>
        <w:rPr/>
        <w:t>correspondant</w:t>
      </w:r>
      <w:r>
        <w:rPr>
          <w:spacing w:val="-4"/>
        </w:rPr>
        <w:t> </w:t>
      </w:r>
      <w:r>
        <w:rPr/>
        <w:t>à</w:t>
      </w:r>
      <w:r>
        <w:rPr>
          <w:spacing w:val="-3"/>
        </w:rPr>
        <w:t> </w:t>
      </w:r>
      <w:r>
        <w:rPr/>
        <w:t>la</w:t>
      </w:r>
      <w:r>
        <w:rPr>
          <w:spacing w:val="-3"/>
        </w:rPr>
        <w:t> </w:t>
      </w:r>
      <w:r>
        <w:rPr/>
        <w:t>forme</w:t>
      </w:r>
      <w:r>
        <w:rPr>
          <w:spacing w:val="-5"/>
        </w:rPr>
        <w:t> </w:t>
      </w:r>
      <w:r>
        <w:rPr/>
        <w:t>d'un</w:t>
      </w:r>
      <w:r>
        <w:rPr>
          <w:spacing w:val="-3"/>
        </w:rPr>
        <w:t> </w:t>
      </w:r>
      <w:r>
        <w:rPr/>
        <w:t>bouchon</w:t>
      </w:r>
      <w:r>
        <w:rPr>
          <w:spacing w:val="-3"/>
        </w:rPr>
        <w:t> </w:t>
      </w:r>
      <w:r>
        <w:rPr/>
        <w:t>de</w:t>
      </w:r>
      <w:r>
        <w:rPr>
          <w:spacing w:val="-3"/>
        </w:rPr>
        <w:t> </w:t>
      </w:r>
      <w:r>
        <w:rPr/>
        <w:t>flacon</w:t>
      </w:r>
      <w:r>
        <w:rPr>
          <w:spacing w:val="-3"/>
        </w:rPr>
        <w:t> </w:t>
      </w:r>
      <w:r>
        <w:rPr/>
        <w:t>de</w:t>
      </w:r>
      <w:r>
        <w:rPr>
          <w:spacing w:val="-3"/>
        </w:rPr>
        <w:t> </w:t>
      </w:r>
      <w:r>
        <w:rPr/>
        <w:t>produits</w:t>
      </w:r>
      <w:r>
        <w:rPr>
          <w:spacing w:val="-3"/>
        </w:rPr>
        <w:t> </w:t>
      </w:r>
      <w:r>
        <w:rPr/>
        <w:t>cosmétiques,</w:t>
      </w:r>
      <w:r>
        <w:rPr>
          <w:spacing w:val="-2"/>
        </w:rPr>
        <w:t> </w:t>
      </w:r>
      <w:r>
        <w:rPr/>
        <w:t>tels</w:t>
      </w:r>
      <w:r>
        <w:rPr>
          <w:spacing w:val="-3"/>
        </w:rPr>
        <w:t> </w:t>
      </w:r>
      <w:r>
        <w:rPr/>
        <w:t>que des parfums ou des produits de maquillage. Nonobstant les allégations de la</w:t>
      </w:r>
      <w:r>
        <w:rPr>
          <w:spacing w:val="40"/>
        </w:rPr>
        <w:t> </w:t>
      </w:r>
      <w:r>
        <w:rPr/>
        <w:t>demanderesse, il est constant que le signe tridimensionnel sera perçu et considéré par le consommateur moyen tel qu'il est déposé. En conséquence, bien que la demanderesse présume (dans la mesure où toutes ses observations concernant l´utilisation du signe sont conditionnelles) que le signe tridimensionnel constitue un conditionnement des produits et non pas un bouchon, cela ne saurait exclure qu´une partie du public identifiera ledit signe comme étant un simple bouchon de produits cosmétiques, étant donné que les produits</w:t>
      </w:r>
      <w:r>
        <w:rPr>
          <w:spacing w:val="40"/>
        </w:rPr>
        <w:t> </w:t>
      </w:r>
      <w:r>
        <w:rPr/>
        <w:t>pour lesquels la marque a été refusée (à savoir, des « produits de parfumerie, cosmétiques</w:t>
      </w:r>
    </w:p>
    <w:p>
      <w:pPr>
        <w:pStyle w:val="BodyText"/>
        <w:spacing w:before="1"/>
        <w:ind w:left="25" w:right="28"/>
        <w:jc w:val="both"/>
      </w:pPr>
      <w:r>
        <w:rPr/>
        <w:t>») sont traditionnellement commercialisés dans des flacons munis d'un bouchon. Il est donc probable que le public associe le signe tridimensionnel à un bouchon de produits </w:t>
      </w:r>
      <w:r>
        <w:rPr>
          <w:spacing w:val="-2"/>
        </w:rPr>
        <w:t>cosmétiques.</w:t>
      </w:r>
    </w:p>
    <w:p>
      <w:pPr>
        <w:pStyle w:val="BodyText"/>
      </w:pPr>
    </w:p>
    <w:p>
      <w:pPr>
        <w:pStyle w:val="BodyText"/>
        <w:ind w:left="25" w:right="11"/>
        <w:jc w:val="both"/>
      </w:pPr>
      <w:r>
        <w:rPr/>
        <w:t>Bien que les critères d’appréciation du caractère distinctif soient les mêmes pour les</w:t>
      </w:r>
      <w:r>
        <w:rPr>
          <w:spacing w:val="40"/>
        </w:rPr>
        <w:t> </w:t>
      </w:r>
      <w:r>
        <w:rPr/>
        <w:t>diverses catégories de marques, il peut apparaître, dans le cadre de l’application de ces critères que la perception du public pertinent n’est pas nécessairement la même pour chacune de ces catégories, et que, dès lors, il pourrait s’avérer plus difficile d’établir le caractère</w:t>
      </w:r>
      <w:r>
        <w:rPr>
          <w:spacing w:val="35"/>
        </w:rPr>
        <w:t> </w:t>
      </w:r>
      <w:r>
        <w:rPr/>
        <w:t>distinctif</w:t>
      </w:r>
      <w:r>
        <w:rPr>
          <w:spacing w:val="37"/>
        </w:rPr>
        <w:t> </w:t>
      </w:r>
      <w:r>
        <w:rPr/>
        <w:t>pour</w:t>
      </w:r>
      <w:r>
        <w:rPr>
          <w:spacing w:val="39"/>
        </w:rPr>
        <w:t> </w:t>
      </w:r>
      <w:r>
        <w:rPr/>
        <w:t>certaines</w:t>
      </w:r>
      <w:r>
        <w:rPr>
          <w:spacing w:val="38"/>
        </w:rPr>
        <w:t> </w:t>
      </w:r>
      <w:r>
        <w:rPr/>
        <w:t>catégories</w:t>
      </w:r>
      <w:r>
        <w:rPr>
          <w:spacing w:val="38"/>
        </w:rPr>
        <w:t> </w:t>
      </w:r>
      <w:r>
        <w:rPr/>
        <w:t>de</w:t>
      </w:r>
      <w:r>
        <w:rPr>
          <w:spacing w:val="38"/>
        </w:rPr>
        <w:t> </w:t>
      </w:r>
      <w:r>
        <w:rPr/>
        <w:t>marques</w:t>
      </w:r>
      <w:r>
        <w:rPr>
          <w:spacing w:val="38"/>
        </w:rPr>
        <w:t> </w:t>
      </w:r>
      <w:r>
        <w:rPr/>
        <w:t>que</w:t>
      </w:r>
      <w:r>
        <w:rPr>
          <w:spacing w:val="38"/>
        </w:rPr>
        <w:t> </w:t>
      </w:r>
      <w:r>
        <w:rPr/>
        <w:t>pour</w:t>
      </w:r>
      <w:r>
        <w:rPr>
          <w:spacing w:val="39"/>
        </w:rPr>
        <w:t> </w:t>
      </w:r>
      <w:r>
        <w:rPr/>
        <w:t>d’autres</w:t>
      </w:r>
      <w:r>
        <w:rPr>
          <w:spacing w:val="40"/>
        </w:rPr>
        <w:t> </w:t>
      </w:r>
      <w:r>
        <w:rPr/>
        <w:t>(29/04/2004, C-456/01 P &amp; C-457/01 P, Tabs, EU:C:2004:258, § 38).</w:t>
      </w:r>
    </w:p>
    <w:p>
      <w:pPr>
        <w:pStyle w:val="BodyText"/>
        <w:spacing w:before="1"/>
      </w:pPr>
    </w:p>
    <w:p>
      <w:pPr>
        <w:pStyle w:val="BodyText"/>
        <w:ind w:left="25" w:right="20"/>
        <w:jc w:val="both"/>
      </w:pPr>
      <w:r>
        <w:rPr/>
        <w:t>En premier lieu, il convient de rappeler que la raison pour laquelle la demanderesse a procédé au dépôt de sa marque, y compris la volonté de lutter contre les contrefacteurs, est sans incidence sur l'appréciation de la validité de ce dépôt. En effet, selon les dispositions</w:t>
      </w:r>
      <w:r>
        <w:rPr>
          <w:spacing w:val="40"/>
        </w:rPr>
        <w:t> </w:t>
      </w:r>
      <w:r>
        <w:rPr/>
        <w:t>du Règlement sur la marque de l'Union européenne, le caractère distinctif d'un signe est déterminé uniquement par le signe lui-même, tel que déposé, et par son rapport avec les produits et services visés, sans qu'il soit tenu compte des motivations ou des objectifs du </w:t>
      </w:r>
      <w:r>
        <w:rPr>
          <w:spacing w:val="-2"/>
        </w:rPr>
        <w:t>déposant.</w:t>
      </w:r>
    </w:p>
    <w:p>
      <w:pPr>
        <w:pStyle w:val="BodyText"/>
      </w:pPr>
    </w:p>
    <w:p>
      <w:pPr>
        <w:pStyle w:val="BodyText"/>
        <w:ind w:left="25" w:right="13"/>
        <w:jc w:val="both"/>
      </w:pPr>
      <w:r>
        <w:rPr/>
        <w:t>En outre,</w:t>
      </w:r>
      <w:r>
        <w:rPr>
          <w:spacing w:val="-1"/>
        </w:rPr>
        <w:t> </w:t>
      </w:r>
      <w:r>
        <w:rPr/>
        <w:t>il</w:t>
      </w:r>
      <w:r>
        <w:rPr>
          <w:spacing w:val="-1"/>
        </w:rPr>
        <w:t> </w:t>
      </w:r>
      <w:r>
        <w:rPr/>
        <w:t>est également</w:t>
      </w:r>
      <w:r>
        <w:rPr>
          <w:spacing w:val="-1"/>
        </w:rPr>
        <w:t> </w:t>
      </w:r>
      <w:r>
        <w:rPr/>
        <w:t>constant que la perception des marques par le public pertinent</w:t>
      </w:r>
      <w:r>
        <w:rPr>
          <w:spacing w:val="-1"/>
        </w:rPr>
        <w:t> </w:t>
      </w:r>
      <w:r>
        <w:rPr/>
        <w:t>est influencée par son niveau d’attention, qui est susceptible de varier en fonction de la catégorie de produits ou de services en cause (05/03/2003, T-194/01, Soap device, EU:T:2003:53, § 42; et 03/12/2003, T-305/02, Bottle, EU:T:2003:328, § 34).</w:t>
      </w:r>
    </w:p>
    <w:p>
      <w:pPr>
        <w:pStyle w:val="BodyText"/>
        <w:spacing w:before="252"/>
        <w:ind w:left="25" w:right="17"/>
        <w:jc w:val="both"/>
      </w:pPr>
      <w:r>
        <w:rPr/>
        <w:t>La demanderesse soutient que le public pertinent fera preuve d’un degré d’attention supérieur</w:t>
      </w:r>
      <w:r>
        <w:rPr>
          <w:spacing w:val="-1"/>
        </w:rPr>
        <w:t> </w:t>
      </w:r>
      <w:r>
        <w:rPr/>
        <w:t>à</w:t>
      </w:r>
      <w:r>
        <w:rPr>
          <w:spacing w:val="-2"/>
        </w:rPr>
        <w:t> </w:t>
      </w:r>
      <w:r>
        <w:rPr/>
        <w:t>la moyenne.</w:t>
      </w:r>
      <w:r>
        <w:rPr>
          <w:spacing w:val="-5"/>
        </w:rPr>
        <w:t> </w:t>
      </w:r>
      <w:r>
        <w:rPr/>
        <w:t>Toutefois,</w:t>
      </w:r>
      <w:r>
        <w:rPr>
          <w:spacing w:val="-1"/>
        </w:rPr>
        <w:t> </w:t>
      </w:r>
      <w:r>
        <w:rPr/>
        <w:t>le fait</w:t>
      </w:r>
      <w:r>
        <w:rPr>
          <w:spacing w:val="-1"/>
        </w:rPr>
        <w:t> </w:t>
      </w:r>
      <w:r>
        <w:rPr/>
        <w:t>que</w:t>
      </w:r>
      <w:r>
        <w:rPr>
          <w:spacing w:val="-2"/>
        </w:rPr>
        <w:t> </w:t>
      </w:r>
      <w:r>
        <w:rPr/>
        <w:t>le public</w:t>
      </w:r>
      <w:r>
        <w:rPr>
          <w:spacing w:val="-2"/>
        </w:rPr>
        <w:t> </w:t>
      </w:r>
      <w:r>
        <w:rPr/>
        <w:t>pertinent</w:t>
      </w:r>
      <w:r>
        <w:rPr>
          <w:spacing w:val="-1"/>
        </w:rPr>
        <w:t> </w:t>
      </w:r>
      <w:r>
        <w:rPr/>
        <w:t>est</w:t>
      </w:r>
      <w:r>
        <w:rPr>
          <w:spacing w:val="-1"/>
        </w:rPr>
        <w:t> </w:t>
      </w:r>
      <w:r>
        <w:rPr/>
        <w:t>composé de</w:t>
      </w:r>
      <w:r>
        <w:rPr>
          <w:spacing w:val="-2"/>
        </w:rPr>
        <w:t> </w:t>
      </w:r>
      <w:r>
        <w:rPr/>
        <w:t>spécialistes et que son degré d’attention est supérieur à la moyenne ne saurait influencer de manière déterminante les critères juridiques utilisés pour apprécier le caractère distinctif d’un signe. La Cour de justice a précisé qu’«il ne s’ensuit pas nécessairement qu’un caractère distinctif plus</w:t>
      </w:r>
      <w:r>
        <w:rPr>
          <w:spacing w:val="40"/>
        </w:rPr>
        <w:t> </w:t>
      </w:r>
      <w:r>
        <w:rPr/>
        <w:t>faible</w:t>
      </w:r>
      <w:r>
        <w:rPr>
          <w:spacing w:val="40"/>
        </w:rPr>
        <w:t> </w:t>
      </w:r>
      <w:r>
        <w:rPr/>
        <w:t>du</w:t>
      </w:r>
      <w:r>
        <w:rPr>
          <w:spacing w:val="40"/>
        </w:rPr>
        <w:t> </w:t>
      </w:r>
      <w:r>
        <w:rPr/>
        <w:t>signe</w:t>
      </w:r>
      <w:r>
        <w:rPr>
          <w:spacing w:val="40"/>
        </w:rPr>
        <w:t> </w:t>
      </w:r>
      <w:r>
        <w:rPr/>
        <w:t>est</w:t>
      </w:r>
      <w:r>
        <w:rPr>
          <w:spacing w:val="40"/>
        </w:rPr>
        <w:t> </w:t>
      </w:r>
      <w:r>
        <w:rPr/>
        <w:t>suffisant</w:t>
      </w:r>
      <w:r>
        <w:rPr>
          <w:spacing w:val="40"/>
        </w:rPr>
        <w:t> </w:t>
      </w:r>
      <w:r>
        <w:rPr/>
        <w:t>lorsque</w:t>
      </w:r>
      <w:r>
        <w:rPr>
          <w:spacing w:val="40"/>
        </w:rPr>
        <w:t> </w:t>
      </w:r>
      <w:r>
        <w:rPr/>
        <w:t>le</w:t>
      </w:r>
      <w:r>
        <w:rPr>
          <w:spacing w:val="40"/>
        </w:rPr>
        <w:t> </w:t>
      </w:r>
      <w:r>
        <w:rPr/>
        <w:t>public</w:t>
      </w:r>
      <w:r>
        <w:rPr>
          <w:spacing w:val="40"/>
        </w:rPr>
        <w:t> </w:t>
      </w:r>
      <w:r>
        <w:rPr/>
        <w:t>pertinent</w:t>
      </w:r>
      <w:r>
        <w:rPr>
          <w:spacing w:val="40"/>
        </w:rPr>
        <w:t> </w:t>
      </w:r>
      <w:r>
        <w:rPr/>
        <w:t>est</w:t>
      </w:r>
      <w:r>
        <w:rPr>
          <w:spacing w:val="40"/>
        </w:rPr>
        <w:t> </w:t>
      </w:r>
      <w:r>
        <w:rPr/>
        <w:t>spécialisé»</w:t>
      </w:r>
      <w:r>
        <w:rPr>
          <w:spacing w:val="40"/>
        </w:rPr>
        <w:t> </w:t>
      </w:r>
      <w:r>
        <w:rPr/>
        <w:t>(12/07/2012, C-311/11 P, Wir machen das Besondere einfach, EU:C:2012:460, § 48).</w:t>
      </w:r>
    </w:p>
    <w:p>
      <w:pPr>
        <w:pStyle w:val="BodyText"/>
      </w:pPr>
    </w:p>
    <w:p>
      <w:pPr>
        <w:pStyle w:val="BodyText"/>
        <w:ind w:left="25" w:right="22"/>
        <w:jc w:val="both"/>
      </w:pPr>
      <w:r>
        <w:rPr/>
        <w:t>L’objet représenté par la marque contestée sera perçu comme une partie du conditionnement des produits eux-mêmes (à savoir le bouchon), puisque les parfums et autres produits cosmétiques sont traditionnellement vendus dans des flacons. Le bouchon de flacon représenté est typiquement un bouchon de flacon de parfum, mais il est aussi courant qu’une gamme de cosmétiques coordonnées au parfum soit commercialisée dans des conditionnements identiques ou très similaires au flacon de parfum.</w:t>
      </w:r>
    </w:p>
    <w:p>
      <w:pPr>
        <w:pStyle w:val="BodyText"/>
        <w:spacing w:before="23"/>
      </w:pPr>
    </w:p>
    <w:p>
      <w:pPr>
        <w:pStyle w:val="BodyText"/>
        <w:ind w:left="25" w:right="26"/>
        <w:jc w:val="both"/>
      </w:pPr>
      <w:r>
        <w:rPr/>
        <w:t>En revanche, les consommateurs ne percevront pas ce bouchon de flacon comme une marque.</w:t>
      </w:r>
      <w:r>
        <w:rPr>
          <w:spacing w:val="40"/>
        </w:rPr>
        <w:t> </w:t>
      </w:r>
      <w:r>
        <w:rPr/>
        <w:t>Cela</w:t>
      </w:r>
      <w:r>
        <w:rPr>
          <w:spacing w:val="40"/>
        </w:rPr>
        <w:t> </w:t>
      </w:r>
      <w:r>
        <w:rPr/>
        <w:t>tient</w:t>
      </w:r>
      <w:r>
        <w:rPr>
          <w:spacing w:val="40"/>
        </w:rPr>
        <w:t> </w:t>
      </w:r>
      <w:r>
        <w:rPr/>
        <w:t>tout</w:t>
      </w:r>
      <w:r>
        <w:rPr>
          <w:spacing w:val="40"/>
        </w:rPr>
        <w:t> </w:t>
      </w:r>
      <w:r>
        <w:rPr/>
        <w:t>d’abord</w:t>
      </w:r>
      <w:r>
        <w:rPr>
          <w:spacing w:val="40"/>
        </w:rPr>
        <w:t> </w:t>
      </w:r>
      <w:r>
        <w:rPr/>
        <w:t>au</w:t>
      </w:r>
      <w:r>
        <w:rPr>
          <w:spacing w:val="40"/>
        </w:rPr>
        <w:t> </w:t>
      </w:r>
      <w:r>
        <w:rPr/>
        <w:t>fait</w:t>
      </w:r>
      <w:r>
        <w:rPr>
          <w:spacing w:val="40"/>
        </w:rPr>
        <w:t> </w:t>
      </w:r>
      <w:r>
        <w:rPr/>
        <w:t>que</w:t>
      </w:r>
      <w:r>
        <w:rPr>
          <w:spacing w:val="40"/>
        </w:rPr>
        <w:t> </w:t>
      </w:r>
      <w:r>
        <w:rPr/>
        <w:t>les</w:t>
      </w:r>
      <w:r>
        <w:rPr>
          <w:spacing w:val="40"/>
        </w:rPr>
        <w:t> </w:t>
      </w:r>
      <w:r>
        <w:rPr/>
        <w:t>consommateurs</w:t>
      </w:r>
      <w:r>
        <w:rPr>
          <w:spacing w:val="40"/>
        </w:rPr>
        <w:t> </w:t>
      </w:r>
      <w:r>
        <w:rPr/>
        <w:t>moyens</w:t>
      </w:r>
      <w:r>
        <w:rPr>
          <w:spacing w:val="40"/>
        </w:rPr>
        <w:t> </w:t>
      </w:r>
      <w:r>
        <w:rPr/>
        <w:t>n’ont</w:t>
      </w:r>
      <w:r>
        <w:rPr>
          <w:spacing w:val="40"/>
        </w:rPr>
        <w:t> </w:t>
      </w:r>
      <w:r>
        <w:rPr/>
        <w:t>pas</w:t>
      </w:r>
      <w:r>
        <w:rPr>
          <w:spacing w:val="40"/>
        </w:rPr>
        <w:t> </w:t>
      </w:r>
      <w:r>
        <w:rPr/>
        <w:t>pour</w:t>
      </w:r>
    </w:p>
    <w:p>
      <w:pPr>
        <w:pStyle w:val="BodyText"/>
        <w:spacing w:after="0"/>
        <w:jc w:val="both"/>
        <w:sectPr>
          <w:pgSz w:w="11900" w:h="16840"/>
          <w:pgMar w:header="727" w:footer="0" w:top="980" w:bottom="280" w:left="1417" w:right="1417"/>
        </w:sectPr>
      </w:pPr>
    </w:p>
    <w:p>
      <w:pPr>
        <w:pStyle w:val="BodyText"/>
        <w:spacing w:before="192"/>
      </w:pPr>
    </w:p>
    <w:p>
      <w:pPr>
        <w:pStyle w:val="BodyText"/>
        <w:ind w:left="25" w:right="24"/>
        <w:jc w:val="both"/>
      </w:pPr>
      <w:r>
        <w:rPr/>
        <w:t>habitude de présumer l’origine des produits de parfumerie et des produits cosmétiques en</w:t>
      </w:r>
      <w:r>
        <w:rPr>
          <w:spacing w:val="40"/>
        </w:rPr>
        <w:t> </w:t>
      </w:r>
      <w:r>
        <w:rPr/>
        <w:t>se fondant sur leur forme ou celle de leur emballage, en l’absence de tout élément</w:t>
      </w:r>
      <w:r>
        <w:rPr>
          <w:spacing w:val="40"/>
        </w:rPr>
        <w:t> </w:t>
      </w:r>
      <w:r>
        <w:rPr/>
        <w:t>graphique ou textuel, à moins que l’usage soit tel que le flacon en question ait acquis un caractère distinctif par l’usage, ce qui n’est pas revendiqué en l’espèce.</w:t>
      </w:r>
    </w:p>
    <w:p>
      <w:pPr>
        <w:pStyle w:val="BodyText"/>
        <w:spacing w:before="1"/>
      </w:pPr>
    </w:p>
    <w:p>
      <w:pPr>
        <w:pStyle w:val="BodyText"/>
        <w:ind w:left="25" w:right="17"/>
        <w:jc w:val="both"/>
      </w:pPr>
      <w:r>
        <w:rPr/>
        <w:t>En outre, même si le consommateur pertinent était capable de percevoir une forme de bouchon de flacon comme une indication d’origine, pour affirmer que la marque contestée a un caractère distinctif, il serait encore nécessaire de vérifier que la forme en question présente des caractéristiques suffisantes pour attirer l’attention du public. La marque litigieuse ne peut être enregistrée pour les produits visés que s’il peut être considéré qu’elle diverge, de manière significative, de la norme ou des habitudes du secteur et, de ce fait,</w:t>
      </w:r>
      <w:r>
        <w:rPr>
          <w:spacing w:val="40"/>
        </w:rPr>
        <w:t> </w:t>
      </w:r>
      <w:r>
        <w:rPr/>
        <w:t>était susceptible de remplir sa fonction essentielle d’origine (14.12.2011, T-237/10, Clasp lock, EU:T:2011:741, § 53).</w:t>
      </w:r>
    </w:p>
    <w:p>
      <w:pPr>
        <w:pStyle w:val="BodyText"/>
        <w:spacing w:before="253"/>
        <w:ind w:left="25" w:right="20"/>
        <w:jc w:val="both"/>
      </w:pPr>
      <w:r>
        <w:rPr/>
        <w:t>Il y a lieu de rappeler que, selon une jurisprudence constante, la nouveauté ou l’originalité</w:t>
      </w:r>
      <w:r>
        <w:rPr>
          <w:spacing w:val="40"/>
        </w:rPr>
        <w:t> </w:t>
      </w:r>
      <w:r>
        <w:rPr/>
        <w:t>ne sont pas des critères pertinents pour l’appréciation du caractère distinctif d’une marque consistant en la forme du produit concerné ou en une image de celui-ci, de sorte que, pour qu’une marque puisse être enregistrée, il ne suffit pas qu’elle soit originale, mais il faut qu’elle se différencie substantiellement des formes de base du produit en cause, communément utilisées dans le commerce, et qu’elle n’apparaisse pas comme une simple variante de ces formes (30.04.2003, T-324/01 &amp; T-110/02, Zigarrenform / Goldbarren, EU:T:2003:123, § 44 ; 31.05.2006, T-15/05, Sausage, EU:T:2006:142, § 38).</w:t>
      </w:r>
    </w:p>
    <w:p>
      <w:pPr>
        <w:pStyle w:val="BodyText"/>
        <w:spacing w:before="1"/>
      </w:pPr>
    </w:p>
    <w:p>
      <w:pPr>
        <w:pStyle w:val="BodyText"/>
        <w:ind w:left="25" w:right="20"/>
        <w:jc w:val="both"/>
      </w:pPr>
      <w:r>
        <w:rPr/>
        <w:t>Dans son arrêt du « Rouge à lèvres » (14/07/2021, T-488/20, FORME D'UN ROUGE À LÈVRE</w:t>
      </w:r>
      <w:r>
        <w:rPr>
          <w:spacing w:val="43"/>
        </w:rPr>
        <w:t> </w:t>
      </w:r>
      <w:r>
        <w:rPr/>
        <w:t>OBLONGUE,</w:t>
      </w:r>
      <w:r>
        <w:rPr>
          <w:spacing w:val="45"/>
        </w:rPr>
        <w:t> </w:t>
      </w:r>
      <w:r>
        <w:rPr/>
        <w:t>CONIQUE</w:t>
      </w:r>
      <w:r>
        <w:rPr>
          <w:spacing w:val="43"/>
        </w:rPr>
        <w:t> </w:t>
      </w:r>
      <w:r>
        <w:rPr/>
        <w:t>ET</w:t>
      </w:r>
      <w:r>
        <w:rPr>
          <w:spacing w:val="43"/>
        </w:rPr>
        <w:t> </w:t>
      </w:r>
      <w:r>
        <w:rPr/>
        <w:t>CYLINDRIQUE</w:t>
      </w:r>
      <w:r>
        <w:rPr>
          <w:spacing w:val="46"/>
        </w:rPr>
        <w:t> </w:t>
      </w:r>
      <w:r>
        <w:rPr/>
        <w:t>(3D),</w:t>
      </w:r>
      <w:r>
        <w:rPr>
          <w:spacing w:val="45"/>
        </w:rPr>
        <w:t> </w:t>
      </w:r>
      <w:r>
        <w:rPr/>
        <w:t>EU:T:2021:443),</w:t>
      </w:r>
      <w:r>
        <w:rPr>
          <w:spacing w:val="45"/>
        </w:rPr>
        <w:t> </w:t>
      </w:r>
      <w:r>
        <w:rPr/>
        <w:t>le</w:t>
      </w:r>
      <w:r>
        <w:rPr>
          <w:spacing w:val="42"/>
        </w:rPr>
        <w:t> </w:t>
      </w:r>
      <w:r>
        <w:rPr/>
        <w:t>Tribunal</w:t>
      </w:r>
      <w:r>
        <w:rPr>
          <w:spacing w:val="44"/>
        </w:rPr>
        <w:t> </w:t>
      </w:r>
      <w:r>
        <w:rPr>
          <w:spacing w:val="-10"/>
        </w:rPr>
        <w:t>a</w:t>
      </w:r>
    </w:p>
    <w:p>
      <w:pPr>
        <w:pStyle w:val="BodyText"/>
        <w:ind w:left="25" w:right="16"/>
        <w:jc w:val="both"/>
      </w:pPr>
      <w:r>
        <w:rPr/>
        <w:t>aussi</w:t>
      </w:r>
      <w:r>
        <w:rPr>
          <w:spacing w:val="-4"/>
        </w:rPr>
        <w:t> </w:t>
      </w:r>
      <w:r>
        <w:rPr/>
        <w:t>souligné,</w:t>
      </w:r>
      <w:r>
        <w:rPr>
          <w:spacing w:val="-4"/>
        </w:rPr>
        <w:t> </w:t>
      </w:r>
      <w:r>
        <w:rPr/>
        <w:t>que</w:t>
      </w:r>
      <w:r>
        <w:rPr>
          <w:spacing w:val="-1"/>
        </w:rPr>
        <w:t> </w:t>
      </w:r>
      <w:r>
        <w:rPr/>
        <w:t>«</w:t>
      </w:r>
      <w:r>
        <w:rPr>
          <w:spacing w:val="-5"/>
        </w:rPr>
        <w:t> </w:t>
      </w:r>
      <w:r>
        <w:rPr/>
        <w:t>s’il</w:t>
      </w:r>
      <w:r>
        <w:rPr>
          <w:spacing w:val="-4"/>
        </w:rPr>
        <w:t> </w:t>
      </w:r>
      <w:r>
        <w:rPr/>
        <w:t>est</w:t>
      </w:r>
      <w:r>
        <w:rPr>
          <w:spacing w:val="-4"/>
        </w:rPr>
        <w:t> </w:t>
      </w:r>
      <w:r>
        <w:rPr/>
        <w:t>vrai,</w:t>
      </w:r>
      <w:r>
        <w:rPr>
          <w:spacing w:val="-2"/>
        </w:rPr>
        <w:t> </w:t>
      </w:r>
      <w:r>
        <w:rPr/>
        <w:t>que</w:t>
      </w:r>
      <w:r>
        <w:rPr>
          <w:spacing w:val="-3"/>
        </w:rPr>
        <w:t> </w:t>
      </w:r>
      <w:r>
        <w:rPr/>
        <w:t>le</w:t>
      </w:r>
      <w:r>
        <w:rPr>
          <w:spacing w:val="-3"/>
        </w:rPr>
        <w:t> </w:t>
      </w:r>
      <w:r>
        <w:rPr/>
        <w:t>simple</w:t>
      </w:r>
      <w:r>
        <w:rPr>
          <w:spacing w:val="-3"/>
        </w:rPr>
        <w:t> </w:t>
      </w:r>
      <w:r>
        <w:rPr/>
        <w:t>fait</w:t>
      </w:r>
      <w:r>
        <w:rPr>
          <w:spacing w:val="-2"/>
        </w:rPr>
        <w:t> </w:t>
      </w:r>
      <w:r>
        <w:rPr/>
        <w:t>qu’une</w:t>
      </w:r>
      <w:r>
        <w:rPr>
          <w:spacing w:val="-3"/>
        </w:rPr>
        <w:t> </w:t>
      </w:r>
      <w:r>
        <w:rPr/>
        <w:t>forme</w:t>
      </w:r>
      <w:r>
        <w:rPr>
          <w:spacing w:val="-3"/>
        </w:rPr>
        <w:t> </w:t>
      </w:r>
      <w:r>
        <w:rPr/>
        <w:t>soit</w:t>
      </w:r>
      <w:r>
        <w:rPr>
          <w:spacing w:val="-2"/>
        </w:rPr>
        <w:t> </w:t>
      </w:r>
      <w:r>
        <w:rPr/>
        <w:t>une</w:t>
      </w:r>
      <w:r>
        <w:rPr>
          <w:spacing w:val="-3"/>
        </w:rPr>
        <w:t> </w:t>
      </w:r>
      <w:r>
        <w:rPr/>
        <w:t>«variante»</w:t>
      </w:r>
      <w:r>
        <w:rPr>
          <w:spacing w:val="-3"/>
        </w:rPr>
        <w:t> </w:t>
      </w:r>
      <w:r>
        <w:rPr/>
        <w:t>de</w:t>
      </w:r>
      <w:r>
        <w:rPr>
          <w:spacing w:val="-3"/>
        </w:rPr>
        <w:t> </w:t>
      </w:r>
      <w:r>
        <w:rPr/>
        <w:t>l’une des formes</w:t>
      </w:r>
      <w:r>
        <w:rPr>
          <w:spacing w:val="-1"/>
        </w:rPr>
        <w:t> </w:t>
      </w:r>
      <w:r>
        <w:rPr/>
        <w:t>habituelles</w:t>
      </w:r>
      <w:r>
        <w:rPr>
          <w:spacing w:val="-1"/>
        </w:rPr>
        <w:t> </w:t>
      </w:r>
      <w:r>
        <w:rPr/>
        <w:t>d’un</w:t>
      </w:r>
      <w:r>
        <w:rPr>
          <w:spacing w:val="-1"/>
        </w:rPr>
        <w:t> </w:t>
      </w:r>
      <w:r>
        <w:rPr/>
        <w:t>type</w:t>
      </w:r>
      <w:r>
        <w:rPr>
          <w:spacing w:val="-1"/>
        </w:rPr>
        <w:t> </w:t>
      </w:r>
      <w:r>
        <w:rPr/>
        <w:t>de produits</w:t>
      </w:r>
      <w:r>
        <w:rPr>
          <w:spacing w:val="-1"/>
        </w:rPr>
        <w:t> </w:t>
      </w:r>
      <w:r>
        <w:rPr/>
        <w:t>ne</w:t>
      </w:r>
      <w:r>
        <w:rPr>
          <w:spacing w:val="-1"/>
        </w:rPr>
        <w:t> </w:t>
      </w:r>
      <w:r>
        <w:rPr/>
        <w:t>suffit pas</w:t>
      </w:r>
      <w:r>
        <w:rPr>
          <w:spacing w:val="-1"/>
        </w:rPr>
        <w:t> </w:t>
      </w:r>
      <w:r>
        <w:rPr/>
        <w:t>à</w:t>
      </w:r>
      <w:r>
        <w:rPr>
          <w:spacing w:val="-1"/>
        </w:rPr>
        <w:t> </w:t>
      </w:r>
      <w:r>
        <w:rPr/>
        <w:t>établir que ladite forme</w:t>
      </w:r>
      <w:r>
        <w:rPr>
          <w:spacing w:val="-1"/>
        </w:rPr>
        <w:t> </w:t>
      </w:r>
      <w:r>
        <w:rPr/>
        <w:t>n’est pas dépourvue de caractère distinctif, le fait qu’un secteur se caractérise par une importante variété de formes de produits n’implique pas qu’une éventuelle nouvelle forme sera nécessairement perçue comme l’une d’elles » (§ 50). Après avoir rappelé (§ 18-20, 40-42) les principes établis par la jurisprudence précitée, le Tribunal a souligné qu’ « il ne saurait être exclu que l’aspect esthétique d’une marque prenant la forme de l’emballage d’un produit, en l’occurrence de son contenant, puisse être pris en compte, parmi d’autres éléments, pour établir une différence par rapport à la norme et aux usages d’un secteur,</w:t>
      </w:r>
      <w:r>
        <w:rPr>
          <w:spacing w:val="40"/>
        </w:rPr>
        <w:t> </w:t>
      </w:r>
      <w:r>
        <w:rPr/>
        <w:t>pour autant que cet aspect esthétique soit compris comme renvoyant à l’effet visuel objectif et inhabituel produit par le design spécifique de ladite marque ». « L’aspect esthétique de la marque</w:t>
      </w:r>
      <w:r>
        <w:rPr>
          <w:spacing w:val="-1"/>
        </w:rPr>
        <w:t> </w:t>
      </w:r>
      <w:r>
        <w:rPr/>
        <w:t>demandée</w:t>
      </w:r>
      <w:r>
        <w:rPr>
          <w:spacing w:val="-1"/>
        </w:rPr>
        <w:t> </w:t>
      </w:r>
      <w:r>
        <w:rPr/>
        <w:t>ne</w:t>
      </w:r>
      <w:r>
        <w:rPr>
          <w:spacing w:val="-1"/>
        </w:rPr>
        <w:t> </w:t>
      </w:r>
      <w:r>
        <w:rPr/>
        <w:t>doit</w:t>
      </w:r>
      <w:r>
        <w:rPr>
          <w:spacing w:val="-1"/>
        </w:rPr>
        <w:t> </w:t>
      </w:r>
      <w:r>
        <w:rPr/>
        <w:t>pas</w:t>
      </w:r>
      <w:r>
        <w:rPr>
          <w:spacing w:val="-1"/>
        </w:rPr>
        <w:t> </w:t>
      </w:r>
      <w:r>
        <w:rPr/>
        <w:t>équivaloir à</w:t>
      </w:r>
      <w:r>
        <w:rPr>
          <w:spacing w:val="-2"/>
        </w:rPr>
        <w:t> </w:t>
      </w:r>
      <w:r>
        <w:rPr/>
        <w:t>une</w:t>
      </w:r>
      <w:r>
        <w:rPr>
          <w:spacing w:val="-1"/>
        </w:rPr>
        <w:t> </w:t>
      </w:r>
      <w:r>
        <w:rPr/>
        <w:t>évaluation</w:t>
      </w:r>
      <w:r>
        <w:rPr>
          <w:spacing w:val="-1"/>
        </w:rPr>
        <w:t> </w:t>
      </w:r>
      <w:r>
        <w:rPr/>
        <w:t>de</w:t>
      </w:r>
      <w:r>
        <w:rPr>
          <w:spacing w:val="-1"/>
        </w:rPr>
        <w:t> </w:t>
      </w:r>
      <w:r>
        <w:rPr/>
        <w:t>la</w:t>
      </w:r>
      <w:r>
        <w:rPr>
          <w:spacing w:val="-1"/>
        </w:rPr>
        <w:t> </w:t>
      </w:r>
      <w:r>
        <w:rPr/>
        <w:t>beauté</w:t>
      </w:r>
      <w:r>
        <w:rPr>
          <w:spacing w:val="-2"/>
        </w:rPr>
        <w:t> </w:t>
      </w:r>
      <w:r>
        <w:rPr/>
        <w:t>du</w:t>
      </w:r>
      <w:r>
        <w:rPr>
          <w:spacing w:val="-1"/>
        </w:rPr>
        <w:t> </w:t>
      </w:r>
      <w:r>
        <w:rPr/>
        <w:t>produit</w:t>
      </w:r>
      <w:r>
        <w:rPr>
          <w:spacing w:val="-1"/>
        </w:rPr>
        <w:t> </w:t>
      </w:r>
      <w:r>
        <w:rPr/>
        <w:t>en</w:t>
      </w:r>
      <w:r>
        <w:rPr>
          <w:spacing w:val="-1"/>
        </w:rPr>
        <w:t> </w:t>
      </w:r>
      <w:r>
        <w:rPr/>
        <w:t>cause, qui serait par définition subjective, mais vise à vérifier, en conformité avec la jurisprudence, si celui-ci est en mesure de générer un effet visuel objectif et inhabituel aux yeux du public pertinent » (§ 43, 44).</w:t>
      </w:r>
    </w:p>
    <w:p>
      <w:pPr>
        <w:pStyle w:val="BodyText"/>
        <w:spacing w:before="22"/>
      </w:pPr>
    </w:p>
    <w:p>
      <w:pPr>
        <w:pStyle w:val="BodyText"/>
        <w:ind w:left="25" w:right="17"/>
        <w:jc w:val="both"/>
      </w:pPr>
      <w:r>
        <w:rPr/>
        <w:t>Concernant les normes ou habitudes du secteur des bouchons de flacons de parfumerie, il n’est</w:t>
      </w:r>
      <w:r>
        <w:rPr>
          <w:spacing w:val="-2"/>
        </w:rPr>
        <w:t> </w:t>
      </w:r>
      <w:r>
        <w:rPr/>
        <w:t>pas</w:t>
      </w:r>
      <w:r>
        <w:rPr>
          <w:spacing w:val="-1"/>
        </w:rPr>
        <w:t> </w:t>
      </w:r>
      <w:r>
        <w:rPr/>
        <w:t>contesté</w:t>
      </w:r>
      <w:r>
        <w:rPr>
          <w:spacing w:val="-1"/>
        </w:rPr>
        <w:t> </w:t>
      </w:r>
      <w:r>
        <w:rPr/>
        <w:t>que</w:t>
      </w:r>
      <w:r>
        <w:rPr>
          <w:spacing w:val="-1"/>
        </w:rPr>
        <w:t> </w:t>
      </w:r>
      <w:r>
        <w:rPr/>
        <w:t>dans</w:t>
      </w:r>
      <w:r>
        <w:rPr>
          <w:spacing w:val="-1"/>
        </w:rPr>
        <w:t> </w:t>
      </w:r>
      <w:r>
        <w:rPr/>
        <w:t>le</w:t>
      </w:r>
      <w:r>
        <w:rPr>
          <w:spacing w:val="-1"/>
        </w:rPr>
        <w:t> </w:t>
      </w:r>
      <w:r>
        <w:rPr/>
        <w:t>domaine des</w:t>
      </w:r>
      <w:r>
        <w:rPr>
          <w:spacing w:val="-3"/>
        </w:rPr>
        <w:t> </w:t>
      </w:r>
      <w:r>
        <w:rPr/>
        <w:t>produits</w:t>
      </w:r>
      <w:r>
        <w:rPr>
          <w:spacing w:val="-3"/>
        </w:rPr>
        <w:t> </w:t>
      </w:r>
      <w:r>
        <w:rPr/>
        <w:t>de</w:t>
      </w:r>
      <w:r>
        <w:rPr>
          <w:spacing w:val="-1"/>
        </w:rPr>
        <w:t> </w:t>
      </w:r>
      <w:r>
        <w:rPr/>
        <w:t>parfumerie,</w:t>
      </w:r>
      <w:r>
        <w:rPr>
          <w:spacing w:val="-2"/>
        </w:rPr>
        <w:t> </w:t>
      </w:r>
      <w:r>
        <w:rPr/>
        <w:t>la</w:t>
      </w:r>
      <w:r>
        <w:rPr>
          <w:spacing w:val="-1"/>
        </w:rPr>
        <w:t> </w:t>
      </w:r>
      <w:r>
        <w:rPr/>
        <w:t>liberté</w:t>
      </w:r>
      <w:r>
        <w:rPr>
          <w:spacing w:val="-1"/>
        </w:rPr>
        <w:t> </w:t>
      </w:r>
      <w:r>
        <w:rPr/>
        <w:t>du</w:t>
      </w:r>
      <w:r>
        <w:rPr>
          <w:spacing w:val="-1"/>
        </w:rPr>
        <w:t> </w:t>
      </w:r>
      <w:r>
        <w:rPr/>
        <w:t>créateur de flacons ou récipients est très ample, ce qui se traduit par une très grande diversité de</w:t>
      </w:r>
      <w:r>
        <w:rPr>
          <w:spacing w:val="40"/>
        </w:rPr>
        <w:t> </w:t>
      </w:r>
      <w:r>
        <w:rPr/>
        <w:t>flacons</w:t>
      </w:r>
      <w:r>
        <w:rPr>
          <w:spacing w:val="-2"/>
        </w:rPr>
        <w:t> </w:t>
      </w:r>
      <w:r>
        <w:rPr/>
        <w:t>et</w:t>
      </w:r>
      <w:r>
        <w:rPr>
          <w:spacing w:val="-1"/>
        </w:rPr>
        <w:t> </w:t>
      </w:r>
      <w:r>
        <w:rPr/>
        <w:t>leur</w:t>
      </w:r>
      <w:r>
        <w:rPr>
          <w:spacing w:val="-1"/>
        </w:rPr>
        <w:t> </w:t>
      </w:r>
      <w:r>
        <w:rPr/>
        <w:t>bouchon</w:t>
      </w:r>
      <w:r>
        <w:rPr>
          <w:spacing w:val="-2"/>
        </w:rPr>
        <w:t> </w:t>
      </w:r>
      <w:r>
        <w:rPr/>
        <w:t>habituellement</w:t>
      </w:r>
      <w:r>
        <w:rPr>
          <w:spacing w:val="-3"/>
        </w:rPr>
        <w:t> </w:t>
      </w:r>
      <w:r>
        <w:rPr/>
        <w:t>rencontrés</w:t>
      </w:r>
      <w:r>
        <w:rPr>
          <w:spacing w:val="-2"/>
        </w:rPr>
        <w:t> </w:t>
      </w:r>
      <w:r>
        <w:rPr/>
        <w:t>sur</w:t>
      </w:r>
      <w:r>
        <w:rPr>
          <w:spacing w:val="-3"/>
        </w:rPr>
        <w:t> </w:t>
      </w:r>
      <w:r>
        <w:rPr/>
        <w:t>le</w:t>
      </w:r>
      <w:r>
        <w:rPr>
          <w:spacing w:val="-2"/>
        </w:rPr>
        <w:t> </w:t>
      </w:r>
      <w:r>
        <w:rPr/>
        <w:t>marché</w:t>
      </w:r>
      <w:r>
        <w:rPr>
          <w:spacing w:val="-2"/>
        </w:rPr>
        <w:t> </w:t>
      </w:r>
      <w:r>
        <w:rPr/>
        <w:t>des</w:t>
      </w:r>
      <w:r>
        <w:rPr>
          <w:spacing w:val="-2"/>
        </w:rPr>
        <w:t> </w:t>
      </w:r>
      <w:r>
        <w:rPr/>
        <w:t>produits</w:t>
      </w:r>
      <w:r>
        <w:rPr>
          <w:spacing w:val="-2"/>
        </w:rPr>
        <w:t> </w:t>
      </w:r>
      <w:r>
        <w:rPr/>
        <w:t>concernés.</w:t>
      </w:r>
      <w:r>
        <w:rPr>
          <w:spacing w:val="-3"/>
        </w:rPr>
        <w:t> </w:t>
      </w:r>
      <w:r>
        <w:rPr/>
        <w:t>Ce fait généralement connu, sur lequel l’Office peut se fonder pour apprécier le caractère distinctif intrinsèque du signe, est aussi illustré par les résultats des recherches Google, effectuées tant par la demanderesse que par nos soins (voir objection initiale).</w:t>
      </w:r>
    </w:p>
    <w:p>
      <w:pPr>
        <w:pStyle w:val="BodyText"/>
      </w:pPr>
    </w:p>
    <w:p>
      <w:pPr>
        <w:pStyle w:val="BodyText"/>
        <w:ind w:left="25" w:right="19"/>
        <w:jc w:val="both"/>
      </w:pPr>
      <w:r>
        <w:rPr/>
        <w:t>Toutefois, contrairement à la thèse de la demanderesse, la grande variété de formes sur le marché, ne signifie pas qu’il n’y a pas vraiment de normes ou d’habitudes propre au secteur des flacons de parfumerie. Loin de là, le</w:t>
      </w:r>
      <w:r>
        <w:rPr>
          <w:spacing w:val="-1"/>
        </w:rPr>
        <w:t> </w:t>
      </w:r>
      <w:r>
        <w:rPr/>
        <w:t>Tribunal a clarifié que les « normes et habitudes du secteur » comprennent l’ensemble des formes que le consommateur pertinent a l’habitude d’apercevoir sur le marché (14/07/2021, T-488/20, FORME D'UN ROUGE À LÈVRE OBLONGUE,</w:t>
      </w:r>
      <w:r>
        <w:rPr>
          <w:spacing w:val="40"/>
        </w:rPr>
        <w:t> </w:t>
      </w:r>
      <w:r>
        <w:rPr/>
        <w:t>CONIQUE</w:t>
      </w:r>
      <w:r>
        <w:rPr>
          <w:spacing w:val="40"/>
        </w:rPr>
        <w:t> </w:t>
      </w:r>
      <w:r>
        <w:rPr/>
        <w:t>ET</w:t>
      </w:r>
      <w:r>
        <w:rPr>
          <w:spacing w:val="40"/>
        </w:rPr>
        <w:t> </w:t>
      </w:r>
      <w:r>
        <w:rPr/>
        <w:t>CYLINDRIQUE</w:t>
      </w:r>
      <w:r>
        <w:rPr>
          <w:spacing w:val="40"/>
        </w:rPr>
        <w:t> </w:t>
      </w:r>
      <w:r>
        <w:rPr/>
        <w:t>(3D),</w:t>
      </w:r>
      <w:r>
        <w:rPr>
          <w:spacing w:val="40"/>
        </w:rPr>
        <w:t> </w:t>
      </w:r>
      <w:r>
        <w:rPr/>
        <w:t>EU:T:2021:443,</w:t>
      </w:r>
      <w:r>
        <w:rPr>
          <w:spacing w:val="40"/>
        </w:rPr>
        <w:t> </w:t>
      </w:r>
      <w:r>
        <w:rPr/>
        <w:t>§</w:t>
      </w:r>
      <w:r>
        <w:rPr>
          <w:spacing w:val="40"/>
        </w:rPr>
        <w:t> </w:t>
      </w:r>
      <w:r>
        <w:rPr/>
        <w:t>48</w:t>
      </w:r>
      <w:r>
        <w:rPr>
          <w:spacing w:val="40"/>
        </w:rPr>
        <w:t> </w:t>
      </w:r>
      <w:r>
        <w:rPr/>
        <w:t>;</w:t>
      </w:r>
      <w:r>
        <w:rPr>
          <w:spacing w:val="40"/>
        </w:rPr>
        <w:t> </w:t>
      </w:r>
      <w:r>
        <w:rPr/>
        <w:t>25/11/2020,</w:t>
      </w:r>
      <w:r>
        <w:rPr>
          <w:spacing w:val="38"/>
        </w:rPr>
        <w:t> </w:t>
      </w:r>
      <w:r>
        <w:rPr/>
        <w:t>T-</w:t>
      </w:r>
    </w:p>
    <w:p>
      <w:pPr>
        <w:pStyle w:val="BodyText"/>
        <w:spacing w:after="0"/>
        <w:jc w:val="both"/>
        <w:sectPr>
          <w:pgSz w:w="11900" w:h="16840"/>
          <w:pgMar w:header="727" w:footer="0" w:top="980" w:bottom="280" w:left="1417" w:right="1417"/>
        </w:sectPr>
      </w:pPr>
    </w:p>
    <w:p>
      <w:pPr>
        <w:pStyle w:val="BodyText"/>
        <w:spacing w:before="192"/>
      </w:pPr>
    </w:p>
    <w:p>
      <w:pPr>
        <w:pStyle w:val="BodyText"/>
        <w:ind w:left="25"/>
        <w:jc w:val="both"/>
      </w:pPr>
      <w:r>
        <w:rPr/>
        <w:t>862/19,</w:t>
      </w:r>
      <w:r>
        <w:rPr>
          <w:spacing w:val="-7"/>
        </w:rPr>
        <w:t> </w:t>
      </w:r>
      <w:r>
        <w:rPr/>
        <w:t>Forme</w:t>
      </w:r>
      <w:r>
        <w:rPr>
          <w:spacing w:val="-10"/>
        </w:rPr>
        <w:t> </w:t>
      </w:r>
      <w:r>
        <w:rPr/>
        <w:t>d’une</w:t>
      </w:r>
      <w:r>
        <w:rPr>
          <w:spacing w:val="-8"/>
        </w:rPr>
        <w:t> </w:t>
      </w:r>
      <w:r>
        <w:rPr/>
        <w:t>bouteille</w:t>
      </w:r>
      <w:r>
        <w:rPr>
          <w:spacing w:val="-7"/>
        </w:rPr>
        <w:t> </w:t>
      </w:r>
      <w:r>
        <w:rPr/>
        <w:t>foncée,</w:t>
      </w:r>
      <w:r>
        <w:rPr>
          <w:spacing w:val="-7"/>
        </w:rPr>
        <w:t> </w:t>
      </w:r>
      <w:r>
        <w:rPr/>
        <w:t>EU:T:2020:561,</w:t>
      </w:r>
      <w:r>
        <w:rPr>
          <w:spacing w:val="-7"/>
        </w:rPr>
        <w:t> </w:t>
      </w:r>
      <w:r>
        <w:rPr/>
        <w:t>§</w:t>
      </w:r>
      <w:r>
        <w:rPr>
          <w:spacing w:val="-9"/>
        </w:rPr>
        <w:t> </w:t>
      </w:r>
      <w:r>
        <w:rPr>
          <w:spacing w:val="-4"/>
        </w:rPr>
        <w:t>56).</w:t>
      </w:r>
    </w:p>
    <w:p>
      <w:pPr>
        <w:pStyle w:val="BodyText"/>
      </w:pPr>
    </w:p>
    <w:p>
      <w:pPr>
        <w:pStyle w:val="BodyText"/>
        <w:ind w:left="25" w:right="20"/>
        <w:jc w:val="both"/>
      </w:pPr>
      <w:r>
        <w:rPr/>
        <w:t>La marque contestée présente une forme sphérique qui se réduit en son milieu sur un socle étroit, qui reste très classique pour des bouchons de flacons de cosmétiques, comme</w:t>
      </w:r>
      <w:r>
        <w:rPr>
          <w:spacing w:val="40"/>
        </w:rPr>
        <w:t> </w:t>
      </w:r>
      <w:r>
        <w:rPr/>
        <w:t>montré dans notre objection initiale.</w:t>
      </w:r>
    </w:p>
    <w:p>
      <w:pPr>
        <w:pStyle w:val="BodyText"/>
      </w:pPr>
    </w:p>
    <w:p>
      <w:pPr>
        <w:pStyle w:val="BodyText"/>
        <w:ind w:left="25" w:right="19"/>
        <w:jc w:val="both"/>
      </w:pPr>
      <w:r>
        <w:rPr/>
        <w:t>Tout en admettant que la forme générale de la plupart des bouchons de flacons cités est similaire à la marque demandée, la demanderesse se livre à une analyse comparative détaillée de</w:t>
      </w:r>
      <w:r>
        <w:rPr>
          <w:spacing w:val="-1"/>
        </w:rPr>
        <w:t> </w:t>
      </w:r>
      <w:r>
        <w:rPr/>
        <w:t>sa demande de marque avec les bouchons de flacons cités afin de</w:t>
      </w:r>
      <w:r>
        <w:rPr>
          <w:spacing w:val="-1"/>
        </w:rPr>
        <w:t> </w:t>
      </w:r>
      <w:r>
        <w:rPr/>
        <w:t>relever leurs différences de détails. Or, le public ne procèdera pas à une telle analyse. Les exemples cités, comme la marque en cause, sont des variantes des formes de bouchons de flacons </w:t>
      </w:r>
      <w:r>
        <w:rPr>
          <w:spacing w:val="-2"/>
        </w:rPr>
        <w:t>sphériques.</w:t>
      </w:r>
    </w:p>
    <w:p>
      <w:pPr>
        <w:pStyle w:val="BodyText"/>
        <w:spacing w:before="1"/>
      </w:pPr>
    </w:p>
    <w:p>
      <w:pPr>
        <w:pStyle w:val="BodyText"/>
        <w:spacing w:before="1"/>
        <w:ind w:left="25" w:right="21"/>
        <w:jc w:val="both"/>
      </w:pPr>
      <w:r>
        <w:rPr/>
        <w:t>Les différents éléments de la marque litigieuse mis en exergue dans l’argumentation de la demanderesse ne suffisent pas pour conclure que la forme de cette marque diverge de manière significative de la norme ou des habitudes du secteur.</w:t>
      </w:r>
    </w:p>
    <w:p>
      <w:pPr>
        <w:pStyle w:val="BodyText"/>
      </w:pPr>
    </w:p>
    <w:p>
      <w:pPr>
        <w:pStyle w:val="BodyText"/>
        <w:ind w:left="25" w:right="20"/>
        <w:jc w:val="both"/>
      </w:pPr>
      <w:r>
        <w:rPr/>
        <w:t>il est donc établi à suffisance que des marques combinant l’ensemble des caractéristiques de la marque présentée à l’enregistrement, à savoir essentiellement un bouchon de flacon métallisé en forme sphérique, sont communément utilisés sur le marché. Partant, la combinaison des éléments dont consiste la marque n’a, en elle-même, aucune particularité par rapport aux normes et habitudes du marché.</w:t>
      </w:r>
    </w:p>
    <w:p>
      <w:pPr>
        <w:pStyle w:val="BodyText"/>
      </w:pPr>
    </w:p>
    <w:p>
      <w:pPr>
        <w:pStyle w:val="BodyText"/>
        <w:ind w:left="25" w:right="20"/>
        <w:jc w:val="both"/>
      </w:pPr>
      <w:r>
        <w:rPr/>
        <w:t>La demanderesse n’a donc pas démontré que le public concerné par les produits visés par la marque litigieuse verra dans la forme de l’objet représenté une indication de l’origine commerciale desdits produits.</w:t>
      </w:r>
    </w:p>
    <w:p>
      <w:pPr>
        <w:pStyle w:val="BodyText"/>
      </w:pPr>
    </w:p>
    <w:p>
      <w:pPr>
        <w:pStyle w:val="BodyText"/>
        <w:ind w:left="25" w:right="23"/>
        <w:jc w:val="both"/>
      </w:pPr>
      <w:r>
        <w:rPr/>
        <w:t>En ce qui concerne les liens Internet apportés par l´Office et contestés par la</w:t>
      </w:r>
      <w:r>
        <w:rPr>
          <w:spacing w:val="40"/>
        </w:rPr>
        <w:t> </w:t>
      </w:r>
      <w:r>
        <w:rPr/>
        <w:t>demanderesse, même si cela n´ont pas de réels valeurs, ils montrent tout de même qu´un possible marcher de ce type de flacons est possible.</w:t>
      </w:r>
    </w:p>
    <w:p>
      <w:pPr>
        <w:pStyle w:val="BodyText"/>
      </w:pPr>
    </w:p>
    <w:p>
      <w:pPr>
        <w:pStyle w:val="BodyText"/>
        <w:ind w:left="25" w:right="25"/>
        <w:jc w:val="both"/>
      </w:pPr>
      <w:r>
        <w:rPr/>
        <w:t>Enfin, en ce qui concerne les décisions nationales invoquées par la demanderesse conformément à la jurisprudence:</w:t>
      </w:r>
    </w:p>
    <w:p>
      <w:pPr>
        <w:pStyle w:val="BodyText"/>
        <w:spacing w:before="252"/>
        <w:ind w:left="593" w:right="539"/>
        <w:jc w:val="both"/>
      </w:pPr>
      <w:r>
        <w:rPr/>
        <w:t>le régime des marques de l’Union européenne est un système autonome, constitué d’un ensemble de règles et poursuivant des objectifs qui lui sont spécifiques, son application étant indépendante de tout système national. En conséquence, le caractère enregistrable d’un signe en tant que marque de l’Union européenne ne doit être apprécié que sur le fondement de la réglementation pertinente. Dès lors, l’Office et, le cas échéant, le juge de l’Union européenne, ne sont pas liés par une décision intervenue au niveau d’un État membre, voire d’un pays tiers, admettant le caractère enregistrable de ce même signe en tant que marque nationale. Tel est le cas même si une telle décision a été</w:t>
      </w:r>
      <w:r>
        <w:rPr>
          <w:spacing w:val="40"/>
        </w:rPr>
        <w:t> </w:t>
      </w:r>
      <w:r>
        <w:rPr/>
        <w:t>prise</w:t>
      </w:r>
      <w:r>
        <w:rPr>
          <w:spacing w:val="40"/>
        </w:rPr>
        <w:t> </w:t>
      </w:r>
      <w:r>
        <w:rPr/>
        <w:t>en</w:t>
      </w:r>
      <w:r>
        <w:rPr>
          <w:spacing w:val="40"/>
        </w:rPr>
        <w:t> </w:t>
      </w:r>
      <w:r>
        <w:rPr/>
        <w:t>application</w:t>
      </w:r>
      <w:r>
        <w:rPr>
          <w:spacing w:val="40"/>
        </w:rPr>
        <w:t> </w:t>
      </w:r>
      <w:r>
        <w:rPr/>
        <w:t>d’une</w:t>
      </w:r>
      <w:r>
        <w:rPr>
          <w:spacing w:val="40"/>
        </w:rPr>
        <w:t> </w:t>
      </w:r>
      <w:r>
        <w:rPr/>
        <w:t>législation</w:t>
      </w:r>
      <w:r>
        <w:rPr>
          <w:spacing w:val="40"/>
        </w:rPr>
        <w:t> </w:t>
      </w:r>
      <w:r>
        <w:rPr/>
        <w:t>nationale</w:t>
      </w:r>
      <w:r>
        <w:rPr>
          <w:spacing w:val="40"/>
        </w:rPr>
        <w:t> </w:t>
      </w:r>
      <w:r>
        <w:rPr/>
        <w:t>harmonisée</w:t>
      </w:r>
      <w:r>
        <w:rPr>
          <w:spacing w:val="40"/>
        </w:rPr>
        <w:t> </w:t>
      </w:r>
      <w:r>
        <w:rPr/>
        <w:t>avec</w:t>
      </w:r>
      <w:r>
        <w:rPr>
          <w:spacing w:val="40"/>
        </w:rPr>
        <w:t> </w:t>
      </w:r>
      <w:r>
        <w:rPr/>
        <w:t>la directive</w:t>
      </w:r>
      <w:r>
        <w:rPr>
          <w:spacing w:val="-2"/>
        </w:rPr>
        <w:t> </w:t>
      </w:r>
      <w:r>
        <w:rPr/>
        <w:t>89/104/CE ou encore dans un pays appartenant à la zone linguistique dans laquelle le signe verbal en cause trouve son origine.</w:t>
      </w:r>
    </w:p>
    <w:p>
      <w:pPr>
        <w:pStyle w:val="BodyText"/>
        <w:spacing w:before="1"/>
      </w:pPr>
    </w:p>
    <w:p>
      <w:pPr>
        <w:pStyle w:val="BodyText"/>
        <w:ind w:left="25"/>
        <w:jc w:val="both"/>
      </w:pPr>
      <w:r>
        <w:rPr/>
        <w:t>(27/02/2002,</w:t>
      </w:r>
      <w:r>
        <w:rPr>
          <w:spacing w:val="-15"/>
        </w:rPr>
        <w:t> </w:t>
      </w:r>
      <w:r>
        <w:rPr/>
        <w:t>T-106/00,</w:t>
      </w:r>
      <w:r>
        <w:rPr>
          <w:spacing w:val="-10"/>
        </w:rPr>
        <w:t> </w:t>
      </w:r>
      <w:r>
        <w:rPr/>
        <w:t>Streamserve,</w:t>
      </w:r>
      <w:r>
        <w:rPr>
          <w:spacing w:val="-11"/>
        </w:rPr>
        <w:t> </w:t>
      </w:r>
      <w:r>
        <w:rPr/>
        <w:t>EU:T:2002:43,</w:t>
      </w:r>
      <w:r>
        <w:rPr>
          <w:spacing w:val="-13"/>
        </w:rPr>
        <w:t> </w:t>
      </w:r>
      <w:r>
        <w:rPr/>
        <w:t>§</w:t>
      </w:r>
      <w:r>
        <w:rPr>
          <w:spacing w:val="-10"/>
        </w:rPr>
        <w:t> </w:t>
      </w:r>
      <w:r>
        <w:rPr>
          <w:spacing w:val="-4"/>
        </w:rPr>
        <w:t>47).</w:t>
      </w:r>
    </w:p>
    <w:p>
      <w:pPr>
        <w:pStyle w:val="BodyText"/>
      </w:pPr>
    </w:p>
    <w:p>
      <w:pPr>
        <w:pStyle w:val="BodyText"/>
        <w:ind w:left="25" w:right="32"/>
        <w:jc w:val="both"/>
      </w:pPr>
      <w:r>
        <w:rPr/>
        <w:t>Dès lors, lorsqu’il procède à l’appréciation de l’affaire, l’Office n’est pas lié par une décision intervenue au niveau national invoquée par la demanderesse.</w:t>
      </w:r>
    </w:p>
    <w:p>
      <w:pPr>
        <w:pStyle w:val="ListParagraph"/>
        <w:numPr>
          <w:ilvl w:val="0"/>
          <w:numId w:val="1"/>
        </w:numPr>
        <w:tabs>
          <w:tab w:pos="333" w:val="left" w:leader="none"/>
        </w:tabs>
        <w:spacing w:line="240" w:lineRule="auto" w:before="252" w:after="0"/>
        <w:ind w:left="333" w:right="0" w:hanging="308"/>
        <w:jc w:val="left"/>
        <w:rPr>
          <w:rFonts w:ascii="Arial"/>
          <w:b/>
          <w:sz w:val="22"/>
        </w:rPr>
      </w:pPr>
      <w:r>
        <w:rPr>
          <w:rFonts w:ascii="Arial"/>
          <w:b/>
          <w:spacing w:val="-2"/>
          <w:sz w:val="22"/>
        </w:rPr>
        <w:t>Conclusion</w:t>
      </w:r>
    </w:p>
    <w:p>
      <w:pPr>
        <w:pStyle w:val="BodyText"/>
        <w:spacing w:before="16"/>
        <w:rPr>
          <w:rFonts w:ascii="Arial"/>
          <w:b/>
        </w:rPr>
      </w:pPr>
    </w:p>
    <w:p>
      <w:pPr>
        <w:pStyle w:val="BodyText"/>
        <w:ind w:left="25"/>
        <w:jc w:val="both"/>
      </w:pPr>
      <w:r>
        <w:rPr/>
        <w:t>Pour</w:t>
      </w:r>
      <w:r>
        <w:rPr>
          <w:spacing w:val="15"/>
        </w:rPr>
        <w:t> </w:t>
      </w:r>
      <w:r>
        <w:rPr/>
        <w:t>les</w:t>
      </w:r>
      <w:r>
        <w:rPr>
          <w:spacing w:val="14"/>
        </w:rPr>
        <w:t> </w:t>
      </w:r>
      <w:r>
        <w:rPr/>
        <w:t>motifs</w:t>
      </w:r>
      <w:r>
        <w:rPr>
          <w:spacing w:val="14"/>
        </w:rPr>
        <w:t> </w:t>
      </w:r>
      <w:r>
        <w:rPr/>
        <w:t>exposés</w:t>
      </w:r>
      <w:r>
        <w:rPr>
          <w:spacing w:val="17"/>
        </w:rPr>
        <w:t> </w:t>
      </w:r>
      <w:r>
        <w:rPr/>
        <w:t>ci-dessus,</w:t>
      </w:r>
      <w:r>
        <w:rPr>
          <w:spacing w:val="13"/>
        </w:rPr>
        <w:t> </w:t>
      </w:r>
      <w:r>
        <w:rPr/>
        <w:t>et</w:t>
      </w:r>
      <w:r>
        <w:rPr>
          <w:spacing w:val="15"/>
        </w:rPr>
        <w:t> </w:t>
      </w:r>
      <w:r>
        <w:rPr/>
        <w:t>conformément</w:t>
      </w:r>
      <w:r>
        <w:rPr>
          <w:spacing w:val="15"/>
        </w:rPr>
        <w:t> </w:t>
      </w:r>
      <w:r>
        <w:rPr/>
        <w:t>à</w:t>
      </w:r>
      <w:r>
        <w:rPr>
          <w:spacing w:val="13"/>
        </w:rPr>
        <w:t> </w:t>
      </w:r>
      <w:r>
        <w:rPr/>
        <w:t>l’article</w:t>
      </w:r>
      <w:r>
        <w:rPr>
          <w:spacing w:val="6"/>
        </w:rPr>
        <w:t> </w:t>
      </w:r>
      <w:r>
        <w:rPr/>
        <w:t>7,</w:t>
      </w:r>
      <w:r>
        <w:rPr>
          <w:spacing w:val="14"/>
        </w:rPr>
        <w:t> </w:t>
      </w:r>
      <w:r>
        <w:rPr/>
        <w:t>paragraphe</w:t>
      </w:r>
      <w:r>
        <w:rPr>
          <w:spacing w:val="14"/>
        </w:rPr>
        <w:t> </w:t>
      </w:r>
      <w:r>
        <w:rPr/>
        <w:t>1,</w:t>
      </w:r>
      <w:r>
        <w:rPr>
          <w:spacing w:val="15"/>
        </w:rPr>
        <w:t> </w:t>
      </w:r>
      <w:r>
        <w:rPr/>
        <w:t>point</w:t>
      </w:r>
      <w:r>
        <w:rPr>
          <w:spacing w:val="-1"/>
        </w:rPr>
        <w:t> </w:t>
      </w:r>
      <w:r>
        <w:rPr/>
        <w:t>b)</w:t>
      </w:r>
      <w:r>
        <w:rPr>
          <w:spacing w:val="16"/>
        </w:rPr>
        <w:t> </w:t>
      </w:r>
      <w:r>
        <w:rPr>
          <w:spacing w:val="-5"/>
        </w:rPr>
        <w:t>du</w:t>
      </w:r>
    </w:p>
    <w:p>
      <w:pPr>
        <w:pStyle w:val="BodyText"/>
        <w:spacing w:after="0"/>
        <w:jc w:val="both"/>
        <w:sectPr>
          <w:pgSz w:w="11900" w:h="16840"/>
          <w:pgMar w:header="727" w:footer="0" w:top="980" w:bottom="280" w:left="1417" w:right="1417"/>
        </w:sectPr>
      </w:pPr>
    </w:p>
    <w:p>
      <w:pPr>
        <w:pStyle w:val="BodyText"/>
        <w:spacing w:before="192"/>
      </w:pPr>
    </w:p>
    <w:p>
      <w:pPr>
        <w:pStyle w:val="BodyText"/>
        <w:ind w:left="25" w:right="13"/>
        <w:jc w:val="both"/>
      </w:pPr>
      <w:r>
        <w:rPr/>
        <w:t>RMUE</w:t>
      </w:r>
      <w:r>
        <w:rPr>
          <w:spacing w:val="-2"/>
        </w:rPr>
        <w:t> </w:t>
      </w:r>
      <w:r>
        <w:rPr/>
        <w:t>, la demande de marque de l'Union européenne nº</w:t>
      </w:r>
      <w:r>
        <w:rPr>
          <w:spacing w:val="40"/>
        </w:rPr>
        <w:t> </w:t>
      </w:r>
      <w:r>
        <w:rPr>
          <w:rFonts w:ascii="Arial" w:hAnsi="Arial"/>
          <w:b/>
        </w:rPr>
        <w:t>19025909 </w:t>
      </w:r>
      <w:r>
        <w:rPr/>
        <w:t>est déclarée</w:t>
      </w:r>
      <w:r>
        <w:rPr>
          <w:spacing w:val="40"/>
        </w:rPr>
        <w:t> </w:t>
      </w:r>
      <w:r>
        <w:rPr/>
        <w:t>dépourvue de caractère distinctif pour tous les produits.</w:t>
      </w:r>
    </w:p>
    <w:p>
      <w:pPr>
        <w:pStyle w:val="BodyText"/>
        <w:spacing w:before="1"/>
      </w:pPr>
    </w:p>
    <w:p>
      <w:pPr>
        <w:pStyle w:val="BodyText"/>
        <w:ind w:left="25" w:right="19"/>
        <w:jc w:val="both"/>
      </w:pPr>
      <w:r>
        <w:rPr/>
        <w:t>Conformément à l’article 66, paragraphe 2, du RMUE, vous avez le droit de former un recours contre cette décision qui ne met pas fin à la procédure d’examen. Conformément à l’article 68 du RMUE, le recours doit être formé par écrit auprès de l’Office dans un délai de deux mois à compter du jour de la notification de la présente décision. Il doit être déposé dans la langue de procédure de la décision attaquée. En outre, un mémoire exposant les motifs du recours doit être déposé par écrit dans un délai de quatre mois à compter de cette date.</w:t>
      </w:r>
      <w:r>
        <w:rPr>
          <w:spacing w:val="-1"/>
        </w:rPr>
        <w:t> </w:t>
      </w:r>
      <w:r>
        <w:rPr/>
        <w:t>Le</w:t>
      </w:r>
      <w:r>
        <w:rPr>
          <w:spacing w:val="-2"/>
        </w:rPr>
        <w:t> </w:t>
      </w:r>
      <w:r>
        <w:rPr/>
        <w:t>recours</w:t>
      </w:r>
      <w:r>
        <w:rPr>
          <w:spacing w:val="-2"/>
        </w:rPr>
        <w:t> </w:t>
      </w:r>
      <w:r>
        <w:rPr/>
        <w:t>n’est</w:t>
      </w:r>
      <w:r>
        <w:rPr>
          <w:spacing w:val="-1"/>
        </w:rPr>
        <w:t> </w:t>
      </w:r>
      <w:r>
        <w:rPr/>
        <w:t>considéré</w:t>
      </w:r>
      <w:r>
        <w:rPr>
          <w:spacing w:val="-1"/>
        </w:rPr>
        <w:t> </w:t>
      </w:r>
      <w:r>
        <w:rPr/>
        <w:t>comme</w:t>
      </w:r>
      <w:r>
        <w:rPr>
          <w:spacing w:val="-2"/>
        </w:rPr>
        <w:t> </w:t>
      </w:r>
      <w:r>
        <w:rPr/>
        <w:t>formé</w:t>
      </w:r>
      <w:r>
        <w:rPr>
          <w:spacing w:val="-2"/>
        </w:rPr>
        <w:t> </w:t>
      </w:r>
      <w:r>
        <w:rPr/>
        <w:t>qu’après</w:t>
      </w:r>
      <w:r>
        <w:rPr>
          <w:spacing w:val="-2"/>
        </w:rPr>
        <w:t> </w:t>
      </w:r>
      <w:r>
        <w:rPr/>
        <w:t>paiement</w:t>
      </w:r>
      <w:r>
        <w:rPr>
          <w:spacing w:val="-1"/>
        </w:rPr>
        <w:t> </w:t>
      </w:r>
      <w:r>
        <w:rPr/>
        <w:t>de</w:t>
      </w:r>
      <w:r>
        <w:rPr>
          <w:spacing w:val="-1"/>
        </w:rPr>
        <w:t> </w:t>
      </w:r>
      <w:r>
        <w:rPr/>
        <w:t>la</w:t>
      </w:r>
      <w:r>
        <w:rPr>
          <w:spacing w:val="-2"/>
        </w:rPr>
        <w:t> </w:t>
      </w:r>
      <w:r>
        <w:rPr/>
        <w:t>taxe</w:t>
      </w:r>
      <w:r>
        <w:rPr>
          <w:spacing w:val="-1"/>
        </w:rPr>
        <w:t> </w:t>
      </w:r>
      <w:r>
        <w:rPr/>
        <w:t>de</w:t>
      </w:r>
      <w:r>
        <w:rPr>
          <w:spacing w:val="-2"/>
        </w:rPr>
        <w:t> </w:t>
      </w:r>
      <w:r>
        <w:rPr/>
        <w:t>recours</w:t>
      </w:r>
      <w:r>
        <w:rPr>
          <w:spacing w:val="-2"/>
        </w:rPr>
        <w:t> </w:t>
      </w:r>
      <w:r>
        <w:rPr/>
        <w:t>d’un montant de 720 EUR.</w:t>
      </w:r>
    </w:p>
    <w:p>
      <w:pPr>
        <w:pStyle w:val="BodyText"/>
        <w:spacing w:before="253"/>
        <w:ind w:left="25" w:right="26"/>
        <w:jc w:val="both"/>
      </w:pPr>
      <w:r>
        <w:rPr/>
        <w:t>Une fois que cette décision deviendra finale, la procédure reprendra en vue d’examiner la revendication subsidiaire fondée sur l’article 7, paragraphe 3, du RMUE et l’article 2, paragraphe 2, du REMUE.</w:t>
      </w:r>
    </w:p>
    <w:p>
      <w:pPr>
        <w:pStyle w:val="BodyText"/>
        <w:rPr>
          <w:sz w:val="20"/>
        </w:rPr>
      </w:pPr>
    </w:p>
    <w:p>
      <w:pPr>
        <w:pStyle w:val="BodyText"/>
        <w:spacing w:before="23"/>
        <w:rPr>
          <w:sz w:val="20"/>
        </w:rPr>
      </w:pPr>
      <w:r>
        <w:rPr>
          <w:sz w:val="20"/>
        </w:rPr>
        <w:drawing>
          <wp:anchor distT="0" distB="0" distL="0" distR="0" allowOverlap="1" layoutInCell="1" locked="0" behindDoc="1" simplePos="0" relativeHeight="487589376">
            <wp:simplePos x="0" y="0"/>
            <wp:positionH relativeFrom="page">
              <wp:posOffset>914400</wp:posOffset>
            </wp:positionH>
            <wp:positionV relativeFrom="paragraph">
              <wp:posOffset>176112</wp:posOffset>
            </wp:positionV>
            <wp:extent cx="891270" cy="90525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891270" cy="905255"/>
                    </a:xfrm>
                    <a:prstGeom prst="rect">
                      <a:avLst/>
                    </a:prstGeom>
                  </pic:spPr>
                </pic:pic>
              </a:graphicData>
            </a:graphic>
          </wp:anchor>
        </w:drawing>
      </w:r>
    </w:p>
    <w:p>
      <w:pPr>
        <w:pStyle w:val="BodyText"/>
        <w:spacing w:before="251"/>
      </w:pPr>
    </w:p>
    <w:p>
      <w:pPr>
        <w:spacing w:before="0"/>
        <w:ind w:left="25" w:right="0" w:firstLine="0"/>
        <w:jc w:val="left"/>
        <w:rPr>
          <w:rFonts w:ascii="Arial"/>
          <w:b/>
          <w:sz w:val="22"/>
        </w:rPr>
      </w:pPr>
      <w:r>
        <w:rPr>
          <w:rFonts w:ascii="Arial"/>
          <w:b/>
          <w:sz w:val="22"/>
        </w:rPr>
        <w:t>Laurent</w:t>
      </w:r>
      <w:r>
        <w:rPr>
          <w:rFonts w:ascii="Arial"/>
          <w:b/>
          <w:spacing w:val="-4"/>
          <w:sz w:val="22"/>
        </w:rPr>
        <w:t> </w:t>
      </w:r>
      <w:r>
        <w:rPr>
          <w:rFonts w:ascii="Arial"/>
          <w:b/>
          <w:spacing w:val="-2"/>
          <w:sz w:val="22"/>
        </w:rPr>
        <w:t>BEAUSSE</w:t>
      </w:r>
    </w:p>
    <w:sectPr>
      <w:pgSz w:w="11900" w:h="16840"/>
      <w:pgMar w:header="727" w:footer="0" w:top="9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3664">
              <wp:simplePos x="0" y="0"/>
              <wp:positionH relativeFrom="page">
                <wp:posOffset>914400</wp:posOffset>
              </wp:positionH>
              <wp:positionV relativeFrom="page">
                <wp:posOffset>629919</wp:posOffset>
              </wp:positionV>
              <wp:extent cx="573151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731510" cy="1270"/>
                      </a:xfrm>
                      <a:custGeom>
                        <a:avLst/>
                        <a:gdLst/>
                        <a:ahLst/>
                        <a:cxnLst/>
                        <a:rect l="l" t="t" r="r" b="b"/>
                        <a:pathLst>
                          <a:path w="5731510" h="1270">
                            <a:moveTo>
                              <a:pt x="5731509" y="0"/>
                            </a:moveTo>
                            <a:lnTo>
                              <a:pt x="0" y="0"/>
                            </a:lnTo>
                            <a:lnTo>
                              <a:pt x="0" y="1270"/>
                            </a:lnTo>
                            <a:lnTo>
                              <a:pt x="5731509" y="1270"/>
                            </a:lnTo>
                            <a:lnTo>
                              <a:pt x="57315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2pt;margin-top:49.599998pt;width:451.3pt;height:.1pt;mso-position-horizontal-relative:page;mso-position-vertical-relative:page;z-index:-15842816" id="docshape3" filled="true" fillcolor="#585858" stroked="false">
              <v:fill type="solid"/>
              <w10:wrap type="none"/>
            </v:rect>
          </w:pict>
        </mc:Fallback>
      </mc:AlternateContent>
    </w:r>
    <w:r>
      <w:rPr>
        <w:sz w:val="20"/>
      </w:rPr>
      <mc:AlternateContent>
        <mc:Choice Requires="wps">
          <w:drawing>
            <wp:anchor distT="0" distB="0" distL="0" distR="0" allowOverlap="1" layoutInCell="1" locked="0" behindDoc="1" simplePos="0" relativeHeight="487474176">
              <wp:simplePos x="0" y="0"/>
              <wp:positionH relativeFrom="page">
                <wp:posOffset>5749290</wp:posOffset>
              </wp:positionH>
              <wp:positionV relativeFrom="page">
                <wp:posOffset>448843</wp:posOffset>
              </wp:positionV>
              <wp:extent cx="856615" cy="1816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56615" cy="181610"/>
                      </a:xfrm>
                      <a:prstGeom prst="rect">
                        <a:avLst/>
                      </a:prstGeom>
                    </wps:spPr>
                    <wps:txbx>
                      <w:txbxContent>
                        <w:p>
                          <w:pPr>
                            <w:pStyle w:val="BodyText"/>
                            <w:spacing w:before="13"/>
                            <w:ind w:left="20"/>
                          </w:pPr>
                          <w:r>
                            <w:rPr/>
                            <w:t>Page</w:t>
                          </w:r>
                          <w:r>
                            <w:rPr>
                              <w:spacing w:val="-2"/>
                            </w:rPr>
                            <w:t> </w:t>
                          </w:r>
                          <w:r>
                            <w:rPr/>
                            <w:fldChar w:fldCharType="begin"/>
                          </w:r>
                          <w:r>
                            <w:rPr/>
                            <w:instrText> PAGE </w:instrText>
                          </w:r>
                          <w:r>
                            <w:rPr/>
                            <w:fldChar w:fldCharType="separate"/>
                          </w:r>
                          <w:r>
                            <w:rPr/>
                            <w:t>2</w:t>
                          </w:r>
                          <w:r>
                            <w:rPr/>
                            <w:fldChar w:fldCharType="end"/>
                          </w:r>
                          <w:r>
                            <w:rPr>
                              <w:spacing w:val="58"/>
                            </w:rPr>
                            <w:t> </w:t>
                          </w:r>
                          <w:r>
                            <w:rPr/>
                            <w:t>sur </w:t>
                          </w:r>
                          <w:r>
                            <w:rPr>
                              <w:spacing w:val="-10"/>
                            </w:rPr>
                            <w:fldChar w:fldCharType="begin"/>
                          </w:r>
                          <w:r>
                            <w:rPr>
                              <w:spacing w:val="-10"/>
                            </w:rPr>
                            <w:instrText> NUMPAGES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2.700012pt;margin-top:35.341991pt;width:67.45pt;height:14.3pt;mso-position-horizontal-relative:page;mso-position-vertical-relative:page;z-index:-15842304" type="#_x0000_t202" id="docshape4" filled="false" stroked="false">
              <v:textbox inset="0,0,0,0">
                <w:txbxContent>
                  <w:p>
                    <w:pPr>
                      <w:pStyle w:val="BodyText"/>
                      <w:spacing w:before="13"/>
                      <w:ind w:left="20"/>
                    </w:pPr>
                    <w:r>
                      <w:rPr/>
                      <w:t>Page</w:t>
                    </w:r>
                    <w:r>
                      <w:rPr>
                        <w:spacing w:val="-2"/>
                      </w:rPr>
                      <w:t> </w:t>
                    </w:r>
                    <w:r>
                      <w:rPr/>
                      <w:fldChar w:fldCharType="begin"/>
                    </w:r>
                    <w:r>
                      <w:rPr/>
                      <w:instrText> PAGE </w:instrText>
                    </w:r>
                    <w:r>
                      <w:rPr/>
                      <w:fldChar w:fldCharType="separate"/>
                    </w:r>
                    <w:r>
                      <w:rPr/>
                      <w:t>2</w:t>
                    </w:r>
                    <w:r>
                      <w:rPr/>
                      <w:fldChar w:fldCharType="end"/>
                    </w:r>
                    <w:r>
                      <w:rPr>
                        <w:spacing w:val="58"/>
                      </w:rPr>
                      <w:t> </w:t>
                    </w:r>
                    <w:r>
                      <w:rPr/>
                      <w:t>sur </w:t>
                    </w:r>
                    <w:r>
                      <w:rPr>
                        <w:spacing w:val="-10"/>
                      </w:rPr>
                      <w:fldChar w:fldCharType="begin"/>
                    </w:r>
                    <w:r>
                      <w:rPr>
                        <w:spacing w:val="-10"/>
                      </w:rPr>
                      <w:instrText> NUMPAGES </w:instrText>
                    </w:r>
                    <w:r>
                      <w:rPr>
                        <w:spacing w:val="-10"/>
                      </w:rPr>
                      <w:fldChar w:fldCharType="separate"/>
                    </w:r>
                    <w:r>
                      <w:rPr>
                        <w:spacing w:val="-10"/>
                      </w:rPr>
                      <w:t>7</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08" w:hanging="184"/>
        <w:jc w:val="left"/>
      </w:pPr>
      <w:rPr>
        <w:rFonts w:hint="default" w:ascii="Arial" w:hAnsi="Arial" w:eastAsia="Arial" w:cs="Arial"/>
        <w:b/>
        <w:bCs/>
        <w:i w:val="0"/>
        <w:iCs w:val="0"/>
        <w:spacing w:val="0"/>
        <w:w w:val="100"/>
        <w:sz w:val="22"/>
        <w:szCs w:val="22"/>
        <w:lang w:val="fr-FR" w:eastAsia="en-US" w:bidi="ar-SA"/>
      </w:rPr>
    </w:lvl>
    <w:lvl w:ilvl="1">
      <w:start w:val="1"/>
      <w:numFmt w:val="decimal"/>
      <w:lvlText w:val="%2."/>
      <w:lvlJc w:val="left"/>
      <w:pPr>
        <w:ind w:left="985" w:hanging="360"/>
        <w:jc w:val="left"/>
      </w:pPr>
      <w:rPr>
        <w:rFonts w:hint="default" w:ascii="Arial MT" w:hAnsi="Arial MT" w:eastAsia="Arial MT" w:cs="Arial MT"/>
        <w:b w:val="0"/>
        <w:bCs w:val="0"/>
        <w:i w:val="0"/>
        <w:iCs w:val="0"/>
        <w:spacing w:val="-1"/>
        <w:w w:val="100"/>
        <w:sz w:val="22"/>
        <w:szCs w:val="22"/>
        <w:lang w:val="fr-FR" w:eastAsia="en-US" w:bidi="ar-SA"/>
      </w:rPr>
    </w:lvl>
    <w:lvl w:ilvl="2">
      <w:start w:val="0"/>
      <w:numFmt w:val="bullet"/>
      <w:lvlText w:val="•"/>
      <w:lvlJc w:val="left"/>
      <w:pPr>
        <w:ind w:left="1878" w:hanging="360"/>
      </w:pPr>
      <w:rPr>
        <w:rFonts w:hint="default"/>
        <w:lang w:val="fr-FR" w:eastAsia="en-US" w:bidi="ar-SA"/>
      </w:rPr>
    </w:lvl>
    <w:lvl w:ilvl="3">
      <w:start w:val="0"/>
      <w:numFmt w:val="bullet"/>
      <w:lvlText w:val="•"/>
      <w:lvlJc w:val="left"/>
      <w:pPr>
        <w:ind w:left="2776" w:hanging="360"/>
      </w:pPr>
      <w:rPr>
        <w:rFonts w:hint="default"/>
        <w:lang w:val="fr-FR" w:eastAsia="en-US" w:bidi="ar-SA"/>
      </w:rPr>
    </w:lvl>
    <w:lvl w:ilvl="4">
      <w:start w:val="0"/>
      <w:numFmt w:val="bullet"/>
      <w:lvlText w:val="•"/>
      <w:lvlJc w:val="left"/>
      <w:pPr>
        <w:ind w:left="3675" w:hanging="360"/>
      </w:pPr>
      <w:rPr>
        <w:rFonts w:hint="default"/>
        <w:lang w:val="fr-FR" w:eastAsia="en-US" w:bidi="ar-SA"/>
      </w:rPr>
    </w:lvl>
    <w:lvl w:ilvl="5">
      <w:start w:val="0"/>
      <w:numFmt w:val="bullet"/>
      <w:lvlText w:val="•"/>
      <w:lvlJc w:val="left"/>
      <w:pPr>
        <w:ind w:left="4573" w:hanging="360"/>
      </w:pPr>
      <w:rPr>
        <w:rFonts w:hint="default"/>
        <w:lang w:val="fr-FR" w:eastAsia="en-US" w:bidi="ar-SA"/>
      </w:rPr>
    </w:lvl>
    <w:lvl w:ilvl="6">
      <w:start w:val="0"/>
      <w:numFmt w:val="bullet"/>
      <w:lvlText w:val="•"/>
      <w:lvlJc w:val="left"/>
      <w:pPr>
        <w:ind w:left="5472" w:hanging="360"/>
      </w:pPr>
      <w:rPr>
        <w:rFonts w:hint="default"/>
        <w:lang w:val="fr-FR" w:eastAsia="en-US" w:bidi="ar-SA"/>
      </w:rPr>
    </w:lvl>
    <w:lvl w:ilvl="7">
      <w:start w:val="0"/>
      <w:numFmt w:val="bullet"/>
      <w:lvlText w:val="•"/>
      <w:lvlJc w:val="left"/>
      <w:pPr>
        <w:ind w:left="6370" w:hanging="360"/>
      </w:pPr>
      <w:rPr>
        <w:rFonts w:hint="default"/>
        <w:lang w:val="fr-FR" w:eastAsia="en-US" w:bidi="ar-SA"/>
      </w:rPr>
    </w:lvl>
    <w:lvl w:ilvl="8">
      <w:start w:val="0"/>
      <w:numFmt w:val="bullet"/>
      <w:lvlText w:val="•"/>
      <w:lvlJc w:val="left"/>
      <w:pPr>
        <w:ind w:left="7269"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rPr>
      <w:rFonts w:ascii="Arial MT" w:hAnsi="Arial MT" w:eastAsia="Arial MT" w:cs="Arial MT"/>
      <w:sz w:val="22"/>
      <w:szCs w:val="22"/>
      <w:lang w:val="fr-FR" w:eastAsia="en-US" w:bidi="ar-SA"/>
    </w:rPr>
  </w:style>
  <w:style w:styleId="ListParagraph" w:type="paragraph">
    <w:name w:val="List Paragraph"/>
    <w:basedOn w:val="Normal"/>
    <w:uiPriority w:val="1"/>
    <w:qFormat/>
    <w:pPr>
      <w:ind w:left="985" w:hanging="360"/>
    </w:pPr>
    <w:rPr>
      <w:rFonts w:ascii="Arial MT" w:hAnsi="Arial MT" w:eastAsia="Arial MT" w:cs="Arial MT"/>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euipo.europa.eu/" TargetMode="External"/><Relationship Id="rId8" Type="http://schemas.openxmlformats.org/officeDocument/2006/relationships/header" Target="header1.xml"/><Relationship Id="rId9" Type="http://schemas.openxmlformats.org/officeDocument/2006/relationships/hyperlink" Target="https://www.alibaba.com/product-detail/Free-sample-20ml-ball-cap-mushroom_1600895244672.html" TargetMode="External"/><Relationship Id="rId10" Type="http://schemas.openxmlformats.org/officeDocument/2006/relationships/hyperlink" Target="https://www.alibaba.com/showroom/spherical-cosmetic-bottle.html" TargetMode="External"/><Relationship Id="rId11" Type="http://schemas.openxmlformats.org/officeDocument/2006/relationships/hyperlink" Target="http://www.shutterstock.com/image-photo/makeup-product-pearl-seashell-on-emerald-" TargetMode="External"/><Relationship Id="rId12" Type="http://schemas.openxmlformats.org/officeDocument/2006/relationships/image" Target="media/image3.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2025-06-12T12:47:41Z</dcterms:created>
  <dcterms:modified xsi:type="dcterms:W3CDTF">2025-06-12T12:47:41Z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Writer</vt:lpwstr>
  </property>
  <property fmtid="{D5CDD505-2E9C-101B-9397-08002B2CF9AE}" pid="4" name="LastSaved">
    <vt:filetime>2025-06-12T00:00:00Z</vt:filetime>
  </property>
  <property fmtid="{D5CDD505-2E9C-101B-9397-08002B2CF9AE}" pid="5" name="Producer">
    <vt:lpwstr>OpenOffice.org 3.3</vt:lpwstr>
  </property>
</Properties>
</file>